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2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Stručný popis obsahu návrhu právního předpisu</w:t>
      </w:r>
    </w:p>
    <w:p w:rsidR="00A77B3E">
      <w:pPr>
        <w:pStyle w:val="1"/>
      </w:pPr>
    </w:p>
    <w:p w:rsidR="00A77B3E">
      <w:pPr>
        <w:pStyle w:val="3"/>
      </w:pPr>
      <w:r>
        <w:t>Návrh nařízení vlády o stanovení výše a způsobu úhrady efektivně a účelně vynaložených nákladů na odposlech a záznam zpráv a příspěvku na uchovávání provozních a lokalizačních údajů</w:t>
      </w:r>
    </w:p>
    <w:p w:rsidR="00A77B3E">
      <w:pPr>
        <w:pStyle w:val="1"/>
      </w:pPr>
    </w:p>
    <w:p w:rsidR="00A77B3E">
      <w:pPr>
        <w:pStyle w:val="4"/>
      </w:pPr>
      <w:r>
        <w:t>Návrh nařízení vlády je předkládán v návaznosti na návrh zákona, kterým se mění zákon č. 127/2005 Sb., o elektronických komunikacích a o změně některých souvisejících zákonů (zákon o elektronických komunikacích), ve znění pozdějších předpisů, a některé další zákony (dále jen „zákon o elektronických komunikacích“ nebo „zákon“), a který byl vyhlášen pod číslem 23/2025 Sb.</w:t>
      </w:r>
    </w:p>
    <w:p w:rsidR="00A77B3E">
      <w:pPr>
        <w:pStyle w:val="5"/>
      </w:pPr>
      <w:r>
        <w:t>Zákon o elektronických komunikacích v ustanovení § 97 odst. 11 nově stanoví, že vláda stanoví nařízením</w:t>
      </w:r>
    </w:p>
    <w:p w:rsidR="00A77B3E">
      <w:pPr>
        <w:pStyle w:val="5"/>
      </w:pPr>
      <w:r>
        <w:t>· výši a způsob úhrady efektivně a účelně vynaložených nákladů na plnění povinností zřídit a zabezpečit v určených bodech své sítě rozhraní pro připojení koncového telekomunikačního zařízení pro odposlech a záznam zpráv,</w:t>
      </w:r>
    </w:p>
    <w:p w:rsidR="00A77B3E">
      <w:pPr>
        <w:pStyle w:val="5"/>
      </w:pPr>
      <w:r>
        <w:t>· výši a způsob úhrady příspěvku na plnění povinnosti uchovávat provozní a lokalizační údaje, a to i v případě existence společného technického řešení, a</w:t>
      </w:r>
    </w:p>
    <w:p w:rsidR="00A77B3E">
      <w:pPr>
        <w:pStyle w:val="6"/>
      </w:pPr>
      <w:r>
        <w:t>· způsob prokazování důvodnosti efektivně a účelně vynaložených nákladů. Bez přijetí nařízení vlády nebude stanoven způsob hrazení nákladů, které vznikají v souvislosti s odposlechy a uchováváním provozních a lokalizačních údajů.</w:t>
      </w:r>
    </w:p>
    <w:sectPr>
      <w:headerReference w:type="even" r:id="rId4"/>
      <w:headerReference w:type="default" r:id="rId5"/>
      <w:headerReference w:type="first" r:id="rId6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gridSpan w:val="4"/>
        </w:tcPr>
        <w:p>
          <w:pPr>
            <w:pStyle w:val="HlavickaZlutyText"/>
            <w:jc w:val="lef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Stručný popis obsahu návrhu právního předpisu</w:t>
          </w:r>
        </w:p>
      </w:tc>
      <w:tc>
        <w:tcPr>
          <w:tcW w:w="1000" w:type="pct"/>
        </w:tcPr>
        <w:p>
          <w:pPr>
            <w:pStyle w:val="Hlavicka"/>
            <w:jc w:val="right"/>
          </w:pP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  <w:r>
            <w:t>Uzavřená verze: 2025-0049-001-TVO</w:t>
          </w: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tcW w:w="2500" w:type="pct"/>
          <w:gridSpan w:val="4"/>
        </w:tcPr>
        <w:p>
          <w:pPr>
            <w:pStyle w:val="HlavickaZlutyText"/>
            <w:jc w:val="righ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Stručný popis obsahu návrhu právního předpisu</w:t>
          </w:r>
        </w:p>
      </w:tc>
      <w:tc>
        <w:tcPr>
          <w:tcW w:w="1000" w:type="pct"/>
        </w:tcPr>
        <w:p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  <w:r>
            <w:t>Uzavřená verze: 2025-0049-001-TVO</w:t>
          </w:r>
        </w:p>
      </w:tc>
    </w:tr>
  </w:tbl>
  <w:p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0" w:after="340"/>
      <w:ind w:left="680" w:right="680"/>
      <w:jc w:val="center"/>
    </w:pPr>
    <w:rPr>
      <w:rFonts w:ascii="Times New Roman" w:eastAsia="Times New Roman" w:hAnsi="Times New Roman" w:cs="Times New Roman"/>
      <w:b/>
      <w:sz w:val="44"/>
    </w:rPr>
  </w:style>
  <w:style w:type="paragraph" w:customStyle="1" w:styleId="3">
    <w:name w:val="3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4">
    <w:name w:val="4"/>
    <w:pPr>
      <w:spacing w:before="0" w:after="113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5">
    <w:name w:val="5"/>
    <w:pPr>
      <w:spacing w:before="113" w:after="113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6">
    <w:name w:val="6"/>
    <w:pPr>
      <w:spacing w:before="113" w:after="57"/>
      <w:ind w:right="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