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352E8" w14:textId="660B3F46" w:rsidR="00B611DD" w:rsidRDefault="00B611DD" w:rsidP="00D0567B">
      <w:pPr>
        <w:spacing w:line="276" w:lineRule="auto"/>
        <w:ind w:left="1" w:hanging="3"/>
        <w:jc w:val="center"/>
        <w:rPr>
          <w:b/>
          <w:sz w:val="32"/>
          <w:szCs w:val="32"/>
        </w:rPr>
      </w:pPr>
      <w:r w:rsidRPr="00C61B36">
        <w:rPr>
          <w:bCs/>
          <w:noProof/>
          <w:sz w:val="28"/>
          <w:szCs w:val="28"/>
        </w:rPr>
        <w:drawing>
          <wp:inline distT="0" distB="0" distL="0" distR="0" wp14:anchorId="2171DA8A" wp14:editId="27D9B541">
            <wp:extent cx="704850" cy="10001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75744" w14:textId="77777777" w:rsidR="00B611DD" w:rsidRDefault="00B611DD" w:rsidP="00D0567B">
      <w:pPr>
        <w:spacing w:line="276" w:lineRule="auto"/>
        <w:ind w:left="1" w:hanging="3"/>
        <w:jc w:val="center"/>
        <w:rPr>
          <w:b/>
          <w:sz w:val="32"/>
          <w:szCs w:val="32"/>
        </w:rPr>
      </w:pPr>
    </w:p>
    <w:p w14:paraId="076DD72F" w14:textId="4F758745" w:rsidR="00063351" w:rsidRPr="007C77B4" w:rsidRDefault="00063351" w:rsidP="00D0567B">
      <w:pPr>
        <w:spacing w:line="276" w:lineRule="auto"/>
        <w:ind w:left="1" w:hanging="3"/>
        <w:jc w:val="center"/>
        <w:rPr>
          <w:b/>
          <w:sz w:val="32"/>
          <w:szCs w:val="32"/>
        </w:rPr>
      </w:pPr>
      <w:r w:rsidRPr="007C77B4">
        <w:rPr>
          <w:b/>
          <w:sz w:val="32"/>
          <w:szCs w:val="32"/>
        </w:rPr>
        <w:t>PARLAMENT ČESKÉ REPUBLIKY</w:t>
      </w:r>
    </w:p>
    <w:p w14:paraId="1BE4D19C" w14:textId="77777777" w:rsidR="00063351" w:rsidRPr="007C77B4" w:rsidRDefault="00063351" w:rsidP="00D0567B">
      <w:pPr>
        <w:spacing w:line="276" w:lineRule="auto"/>
        <w:ind w:left="1" w:hanging="3"/>
        <w:jc w:val="center"/>
        <w:rPr>
          <w:rFonts w:eastAsia="Calibri"/>
          <w:b/>
          <w:sz w:val="32"/>
          <w:szCs w:val="32"/>
        </w:rPr>
      </w:pPr>
      <w:r w:rsidRPr="007C77B4">
        <w:rPr>
          <w:b/>
          <w:sz w:val="32"/>
          <w:szCs w:val="32"/>
        </w:rPr>
        <w:t>Poslanecká sněmovna</w:t>
      </w:r>
    </w:p>
    <w:p w14:paraId="192B9D2C" w14:textId="41BB749D" w:rsidR="00063351" w:rsidRPr="007C77B4" w:rsidRDefault="00B611DD" w:rsidP="00D0567B">
      <w:pPr>
        <w:spacing w:line="276" w:lineRule="auto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</w:p>
    <w:p w14:paraId="39396DDD" w14:textId="77777777" w:rsidR="00063351" w:rsidRPr="007C77B4" w:rsidRDefault="00063351" w:rsidP="00D0567B">
      <w:pPr>
        <w:spacing w:line="276" w:lineRule="auto"/>
        <w:ind w:left="-2"/>
        <w:jc w:val="center"/>
        <w:rPr>
          <w:b/>
          <w:sz w:val="28"/>
          <w:szCs w:val="28"/>
        </w:rPr>
      </w:pPr>
      <w:r w:rsidRPr="007C77B4">
        <w:rPr>
          <w:b/>
          <w:sz w:val="28"/>
          <w:szCs w:val="28"/>
        </w:rPr>
        <w:t>IX. volební období</w:t>
      </w:r>
    </w:p>
    <w:p w14:paraId="6B3878B2" w14:textId="77777777" w:rsidR="00063351" w:rsidRPr="007C77B4" w:rsidRDefault="00063351" w:rsidP="00D0567B">
      <w:pPr>
        <w:spacing w:line="276" w:lineRule="auto"/>
        <w:ind w:left="1" w:hanging="3"/>
        <w:rPr>
          <w:b/>
          <w:sz w:val="28"/>
          <w:szCs w:val="28"/>
        </w:rPr>
      </w:pPr>
      <w:r w:rsidRPr="007C77B4">
        <w:rPr>
          <w:b/>
          <w:sz w:val="28"/>
          <w:szCs w:val="28"/>
        </w:rPr>
        <w:t>________________________________________________________________</w:t>
      </w:r>
    </w:p>
    <w:p w14:paraId="707B3474" w14:textId="77777777" w:rsidR="00063351" w:rsidRPr="007C77B4" w:rsidRDefault="00063351" w:rsidP="00D0567B">
      <w:pPr>
        <w:widowControl w:val="0"/>
        <w:autoSpaceDE w:val="0"/>
        <w:autoSpaceDN w:val="0"/>
        <w:adjustRightInd w:val="0"/>
        <w:spacing w:line="276" w:lineRule="auto"/>
        <w:ind w:hanging="2"/>
        <w:jc w:val="center"/>
        <w:rPr>
          <w:b/>
          <w:bCs/>
        </w:rPr>
      </w:pPr>
    </w:p>
    <w:p w14:paraId="772A5A92" w14:textId="77777777" w:rsidR="00E92E23" w:rsidRDefault="00E92E23" w:rsidP="00D0567B">
      <w:pPr>
        <w:widowControl w:val="0"/>
        <w:autoSpaceDE w:val="0"/>
        <w:autoSpaceDN w:val="0"/>
        <w:adjustRightInd w:val="0"/>
        <w:spacing w:line="276" w:lineRule="auto"/>
        <w:ind w:hanging="2"/>
        <w:jc w:val="center"/>
        <w:rPr>
          <w:b/>
          <w:bCs/>
        </w:rPr>
      </w:pPr>
    </w:p>
    <w:p w14:paraId="419846A5" w14:textId="64003627" w:rsidR="00063351" w:rsidRPr="00B611DD" w:rsidRDefault="00063351" w:rsidP="00D0567B">
      <w:pPr>
        <w:widowControl w:val="0"/>
        <w:autoSpaceDE w:val="0"/>
        <w:autoSpaceDN w:val="0"/>
        <w:adjustRightInd w:val="0"/>
        <w:spacing w:line="276" w:lineRule="auto"/>
        <w:ind w:hanging="2"/>
        <w:jc w:val="center"/>
        <w:rPr>
          <w:b/>
          <w:bCs/>
          <w:sz w:val="28"/>
          <w:szCs w:val="28"/>
        </w:rPr>
      </w:pPr>
      <w:r w:rsidRPr="00B611DD">
        <w:rPr>
          <w:b/>
          <w:bCs/>
          <w:sz w:val="28"/>
          <w:szCs w:val="28"/>
        </w:rPr>
        <w:t xml:space="preserve">Pozměňovací návrh </w:t>
      </w:r>
    </w:p>
    <w:p w14:paraId="09DAEF34" w14:textId="77777777" w:rsidR="00063351" w:rsidRPr="00B611DD" w:rsidRDefault="00063351" w:rsidP="00D0567B">
      <w:pPr>
        <w:widowControl w:val="0"/>
        <w:autoSpaceDE w:val="0"/>
        <w:autoSpaceDN w:val="0"/>
        <w:adjustRightInd w:val="0"/>
        <w:spacing w:line="276" w:lineRule="auto"/>
        <w:ind w:hanging="2"/>
        <w:jc w:val="center"/>
        <w:rPr>
          <w:b/>
          <w:bCs/>
          <w:sz w:val="28"/>
          <w:szCs w:val="28"/>
        </w:rPr>
      </w:pPr>
    </w:p>
    <w:p w14:paraId="2F174767" w14:textId="220FAA39" w:rsidR="00063351" w:rsidRPr="00B611DD" w:rsidRDefault="00B611DD" w:rsidP="00D0567B">
      <w:pPr>
        <w:spacing w:line="276" w:lineRule="auto"/>
        <w:ind w:hanging="2"/>
        <w:jc w:val="center"/>
        <w:rPr>
          <w:b/>
          <w:sz w:val="28"/>
          <w:szCs w:val="28"/>
          <w:lang w:eastAsia="en-US"/>
        </w:rPr>
      </w:pPr>
      <w:r w:rsidRPr="00B611DD">
        <w:rPr>
          <w:b/>
          <w:sz w:val="28"/>
          <w:szCs w:val="28"/>
        </w:rPr>
        <w:t>p</w:t>
      </w:r>
      <w:r w:rsidR="00063351" w:rsidRPr="00B611DD">
        <w:rPr>
          <w:b/>
          <w:sz w:val="28"/>
          <w:szCs w:val="28"/>
        </w:rPr>
        <w:t>oslanc</w:t>
      </w:r>
      <w:r w:rsidRPr="00B611DD">
        <w:rPr>
          <w:b/>
          <w:sz w:val="28"/>
          <w:szCs w:val="28"/>
        </w:rPr>
        <w:t>ů Karla Haase a Martina Baxy</w:t>
      </w:r>
    </w:p>
    <w:p w14:paraId="3DC47357" w14:textId="77777777" w:rsidR="00063351" w:rsidRPr="00B611DD" w:rsidRDefault="00063351" w:rsidP="00D0567B">
      <w:pPr>
        <w:spacing w:line="276" w:lineRule="auto"/>
        <w:ind w:hanging="2"/>
        <w:jc w:val="center"/>
        <w:rPr>
          <w:b/>
          <w:sz w:val="28"/>
          <w:szCs w:val="28"/>
        </w:rPr>
      </w:pPr>
    </w:p>
    <w:p w14:paraId="1D154EDA" w14:textId="77777777" w:rsidR="00063351" w:rsidRPr="00B611DD" w:rsidRDefault="00063351" w:rsidP="00D0567B">
      <w:pPr>
        <w:spacing w:line="276" w:lineRule="auto"/>
        <w:ind w:hanging="2"/>
        <w:jc w:val="center"/>
        <w:rPr>
          <w:b/>
          <w:sz w:val="28"/>
          <w:szCs w:val="28"/>
        </w:rPr>
      </w:pPr>
    </w:p>
    <w:p w14:paraId="635F03FD" w14:textId="77777777" w:rsidR="006730BB" w:rsidRPr="00B611DD" w:rsidRDefault="006730BB" w:rsidP="00D0567B">
      <w:pPr>
        <w:spacing w:line="276" w:lineRule="auto"/>
        <w:rPr>
          <w:sz w:val="28"/>
          <w:szCs w:val="28"/>
        </w:rPr>
      </w:pPr>
    </w:p>
    <w:p w14:paraId="734485E1" w14:textId="24A8EDF9" w:rsidR="00063351" w:rsidRPr="00B611DD" w:rsidRDefault="00063351" w:rsidP="00D0567B">
      <w:pPr>
        <w:spacing w:line="276" w:lineRule="auto"/>
        <w:jc w:val="center"/>
        <w:rPr>
          <w:b/>
          <w:bCs/>
          <w:sz w:val="28"/>
          <w:szCs w:val="28"/>
        </w:rPr>
      </w:pPr>
      <w:r w:rsidRPr="00B611DD">
        <w:rPr>
          <w:b/>
          <w:bCs/>
          <w:sz w:val="28"/>
          <w:szCs w:val="28"/>
        </w:rPr>
        <w:t>k vládnímu návrhu zákona o digitální ekonomice a o změně některých souvisejících zákonů</w:t>
      </w:r>
    </w:p>
    <w:p w14:paraId="7AF1249E" w14:textId="77777777" w:rsidR="00063351" w:rsidRPr="00B611DD" w:rsidRDefault="00063351" w:rsidP="00D0567B">
      <w:pPr>
        <w:spacing w:line="276" w:lineRule="auto"/>
        <w:jc w:val="center"/>
        <w:rPr>
          <w:b/>
          <w:bCs/>
          <w:sz w:val="28"/>
          <w:szCs w:val="28"/>
        </w:rPr>
      </w:pPr>
    </w:p>
    <w:p w14:paraId="596FEB42" w14:textId="6728236A" w:rsidR="00063351" w:rsidRPr="00B611DD" w:rsidRDefault="00063351" w:rsidP="00D0567B">
      <w:pPr>
        <w:spacing w:line="276" w:lineRule="auto"/>
        <w:jc w:val="center"/>
        <w:rPr>
          <w:b/>
          <w:bCs/>
          <w:sz w:val="28"/>
          <w:szCs w:val="28"/>
        </w:rPr>
      </w:pPr>
      <w:r w:rsidRPr="00B611DD">
        <w:rPr>
          <w:b/>
          <w:bCs/>
          <w:sz w:val="28"/>
          <w:szCs w:val="28"/>
        </w:rPr>
        <w:t>(sněmovní tisk. č. 776</w:t>
      </w:r>
      <w:r w:rsidR="00B611DD">
        <w:rPr>
          <w:b/>
          <w:bCs/>
          <w:sz w:val="28"/>
          <w:szCs w:val="28"/>
        </w:rPr>
        <w:t>/0</w:t>
      </w:r>
      <w:r w:rsidRPr="00B611DD">
        <w:rPr>
          <w:b/>
          <w:bCs/>
          <w:sz w:val="28"/>
          <w:szCs w:val="28"/>
        </w:rPr>
        <w:t>)</w:t>
      </w:r>
    </w:p>
    <w:p w14:paraId="50D227F0" w14:textId="77777777" w:rsidR="00063351" w:rsidRDefault="00063351" w:rsidP="00D0567B">
      <w:pPr>
        <w:spacing w:line="276" w:lineRule="auto"/>
        <w:jc w:val="center"/>
        <w:rPr>
          <w:b/>
          <w:bCs/>
        </w:rPr>
      </w:pPr>
    </w:p>
    <w:p w14:paraId="560929F9" w14:textId="77777777" w:rsidR="000862E5" w:rsidRDefault="000862E5" w:rsidP="00D0567B">
      <w:pPr>
        <w:spacing w:line="276" w:lineRule="auto"/>
        <w:jc w:val="left"/>
      </w:pPr>
    </w:p>
    <w:p w14:paraId="3ED0911B" w14:textId="77777777" w:rsidR="00B611DD" w:rsidRDefault="00B611DD" w:rsidP="00D0567B">
      <w:pPr>
        <w:spacing w:line="276" w:lineRule="auto"/>
        <w:jc w:val="left"/>
      </w:pPr>
    </w:p>
    <w:p w14:paraId="6FED26C4" w14:textId="77777777" w:rsidR="00B611DD" w:rsidRDefault="00B611DD" w:rsidP="00D0567B">
      <w:pPr>
        <w:spacing w:line="276" w:lineRule="auto"/>
        <w:jc w:val="left"/>
      </w:pPr>
    </w:p>
    <w:p w14:paraId="103E2A2D" w14:textId="77777777" w:rsidR="00B611DD" w:rsidRDefault="00B611DD" w:rsidP="00D0567B">
      <w:pPr>
        <w:spacing w:line="276" w:lineRule="auto"/>
        <w:jc w:val="left"/>
      </w:pPr>
    </w:p>
    <w:p w14:paraId="4E74C71A" w14:textId="77777777" w:rsidR="00B611DD" w:rsidRDefault="00B611DD" w:rsidP="00D0567B">
      <w:pPr>
        <w:spacing w:line="276" w:lineRule="auto"/>
        <w:jc w:val="left"/>
      </w:pPr>
    </w:p>
    <w:p w14:paraId="36AC5DFC" w14:textId="77777777" w:rsidR="00B611DD" w:rsidRDefault="00B611DD" w:rsidP="00D0567B">
      <w:pPr>
        <w:spacing w:line="276" w:lineRule="auto"/>
        <w:jc w:val="left"/>
      </w:pPr>
    </w:p>
    <w:p w14:paraId="0FD94081" w14:textId="77777777" w:rsidR="00B611DD" w:rsidRDefault="00B611DD" w:rsidP="00D0567B">
      <w:pPr>
        <w:spacing w:line="276" w:lineRule="auto"/>
        <w:jc w:val="left"/>
      </w:pPr>
    </w:p>
    <w:p w14:paraId="4CD14280" w14:textId="77777777" w:rsidR="00B611DD" w:rsidRDefault="00B611DD" w:rsidP="00D0567B">
      <w:pPr>
        <w:spacing w:line="276" w:lineRule="auto"/>
        <w:jc w:val="left"/>
      </w:pPr>
    </w:p>
    <w:p w14:paraId="44ED7E84" w14:textId="77777777" w:rsidR="00B611DD" w:rsidRDefault="00B611DD" w:rsidP="00D0567B">
      <w:pPr>
        <w:spacing w:line="276" w:lineRule="auto"/>
        <w:jc w:val="left"/>
      </w:pPr>
    </w:p>
    <w:p w14:paraId="44E262FC" w14:textId="77777777" w:rsidR="00B611DD" w:rsidRDefault="00B611DD" w:rsidP="00D0567B">
      <w:pPr>
        <w:spacing w:line="276" w:lineRule="auto"/>
        <w:jc w:val="left"/>
      </w:pPr>
    </w:p>
    <w:p w14:paraId="58A30314" w14:textId="77777777" w:rsidR="00B611DD" w:rsidRDefault="00B611DD" w:rsidP="00D0567B">
      <w:pPr>
        <w:spacing w:line="276" w:lineRule="auto"/>
        <w:jc w:val="left"/>
      </w:pPr>
    </w:p>
    <w:p w14:paraId="7CB51A01" w14:textId="77777777" w:rsidR="00B611DD" w:rsidRDefault="00B611DD" w:rsidP="00D0567B">
      <w:pPr>
        <w:spacing w:line="276" w:lineRule="auto"/>
        <w:jc w:val="left"/>
      </w:pPr>
    </w:p>
    <w:p w14:paraId="6849C071" w14:textId="77777777" w:rsidR="00B611DD" w:rsidRDefault="00B611DD" w:rsidP="00D0567B">
      <w:pPr>
        <w:spacing w:line="276" w:lineRule="auto"/>
        <w:jc w:val="left"/>
      </w:pPr>
    </w:p>
    <w:p w14:paraId="76CB33D0" w14:textId="77777777" w:rsidR="00B611DD" w:rsidRDefault="00B611DD" w:rsidP="00D0567B">
      <w:pPr>
        <w:spacing w:line="276" w:lineRule="auto"/>
        <w:jc w:val="left"/>
      </w:pPr>
    </w:p>
    <w:p w14:paraId="608D5227" w14:textId="77777777" w:rsidR="00B611DD" w:rsidRDefault="00B611DD" w:rsidP="00D0567B">
      <w:pPr>
        <w:spacing w:line="276" w:lineRule="auto"/>
        <w:jc w:val="left"/>
      </w:pPr>
    </w:p>
    <w:p w14:paraId="0EBF70FB" w14:textId="77777777" w:rsidR="00B611DD" w:rsidRDefault="00B611DD" w:rsidP="00D0567B">
      <w:pPr>
        <w:spacing w:line="276" w:lineRule="auto"/>
        <w:jc w:val="left"/>
      </w:pPr>
    </w:p>
    <w:p w14:paraId="70398319" w14:textId="63CC8B15" w:rsidR="00063351" w:rsidRPr="00B611DD" w:rsidRDefault="00063351" w:rsidP="00D0567B">
      <w:pPr>
        <w:spacing w:line="276" w:lineRule="auto"/>
        <w:jc w:val="left"/>
        <w:rPr>
          <w:b/>
        </w:rPr>
      </w:pPr>
      <w:r w:rsidRPr="00B611DD">
        <w:rPr>
          <w:b/>
        </w:rPr>
        <w:lastRenderedPageBreak/>
        <w:t>Návrh zákona (</w:t>
      </w:r>
      <w:r w:rsidR="00B611DD">
        <w:rPr>
          <w:b/>
        </w:rPr>
        <w:t>sněmovní tisk</w:t>
      </w:r>
      <w:r w:rsidRPr="00B611DD">
        <w:rPr>
          <w:b/>
        </w:rPr>
        <w:t xml:space="preserve"> 776/0) se mění takto:</w:t>
      </w:r>
    </w:p>
    <w:p w14:paraId="571B8962" w14:textId="77777777" w:rsidR="00063351" w:rsidRDefault="00063351" w:rsidP="00D0567B">
      <w:pPr>
        <w:spacing w:line="276" w:lineRule="auto"/>
        <w:jc w:val="left"/>
      </w:pPr>
    </w:p>
    <w:p w14:paraId="7A4955F2" w14:textId="7B7397EA" w:rsidR="00063351" w:rsidRDefault="00063351" w:rsidP="00D0567B">
      <w:pPr>
        <w:spacing w:line="276" w:lineRule="auto"/>
      </w:pPr>
      <w:r>
        <w:t xml:space="preserve">V části čtvrté, § 70 (Změna autorského zákona), </w:t>
      </w:r>
      <w:r w:rsidR="00FB6D06">
        <w:t>s</w:t>
      </w:r>
      <w:r>
        <w:t>e vklád</w:t>
      </w:r>
      <w:r w:rsidR="00FB6D06">
        <w:t xml:space="preserve">á </w:t>
      </w:r>
      <w:r>
        <w:t>nov</w:t>
      </w:r>
      <w:r w:rsidR="00FB6D06">
        <w:t>ý</w:t>
      </w:r>
      <w:r>
        <w:t xml:space="preserve"> novelizační bod, kter</w:t>
      </w:r>
      <w:r w:rsidR="00FB6D06">
        <w:t>ý</w:t>
      </w:r>
      <w:r>
        <w:t xml:space="preserve"> zní: </w:t>
      </w:r>
    </w:p>
    <w:p w14:paraId="66B2D6DC" w14:textId="77777777" w:rsidR="00063351" w:rsidRDefault="00063351" w:rsidP="00D0567B">
      <w:pPr>
        <w:spacing w:line="276" w:lineRule="auto"/>
      </w:pPr>
    </w:p>
    <w:p w14:paraId="1CF4F53D" w14:textId="460EF5FF" w:rsidR="00063351" w:rsidRPr="003760E5" w:rsidRDefault="00063351" w:rsidP="00D0567B">
      <w:pPr>
        <w:spacing w:line="276" w:lineRule="auto"/>
      </w:pPr>
      <w:r>
        <w:t xml:space="preserve">„X. V § 40 odst. 1 se na konci textu písmene f) doplňují slova „ </w:t>
      </w:r>
      <w:r w:rsidRPr="003760E5">
        <w:t xml:space="preserve">, </w:t>
      </w:r>
      <w:r w:rsidR="003760E5" w:rsidRPr="000B7335">
        <w:t xml:space="preserve">včetně takového zákazu, který zamezí </w:t>
      </w:r>
      <w:r w:rsidR="000B7335">
        <w:t xml:space="preserve">i </w:t>
      </w:r>
      <w:r w:rsidR="00E56772">
        <w:t xml:space="preserve">šíření </w:t>
      </w:r>
      <w:r w:rsidR="003760E5" w:rsidRPr="000B7335">
        <w:t xml:space="preserve">v době vyhlášení rozhodnutí neurčitelného množství shodného </w:t>
      </w:r>
      <w:r w:rsidR="000B7335">
        <w:t xml:space="preserve">protiprávního </w:t>
      </w:r>
      <w:r w:rsidR="003760E5" w:rsidRPr="000B7335">
        <w:t xml:space="preserve">obsahu po </w:t>
      </w:r>
      <w:r w:rsidR="000B7335">
        <w:t>dobu, po kterou trvá ohrožení nebo porušování práva autora</w:t>
      </w:r>
      <w:r w:rsidR="00DC41EF" w:rsidRPr="00DC41EF">
        <w:t>, a to i rozhodnutím, kterým se zatímně upravují poměry účastníků</w:t>
      </w:r>
      <w:r w:rsidR="003760E5" w:rsidRPr="000B7335">
        <w:t>.</w:t>
      </w:r>
      <w:r w:rsidRPr="003760E5">
        <w:t>“.</w:t>
      </w:r>
    </w:p>
    <w:p w14:paraId="52848977" w14:textId="77777777" w:rsidR="00063351" w:rsidRDefault="00063351" w:rsidP="00D0567B">
      <w:pPr>
        <w:spacing w:line="276" w:lineRule="auto"/>
      </w:pPr>
    </w:p>
    <w:p w14:paraId="50DDB1F0" w14:textId="68F6E325" w:rsidR="00E92E23" w:rsidRDefault="00E92E23" w:rsidP="00D0567B">
      <w:pPr>
        <w:spacing w:line="276" w:lineRule="auto"/>
        <w:jc w:val="left"/>
        <w:rPr>
          <w:b/>
          <w:bCs/>
          <w:szCs w:val="24"/>
          <w:u w:val="single"/>
        </w:rPr>
      </w:pPr>
    </w:p>
    <w:p w14:paraId="687E5BC0" w14:textId="08020746" w:rsidR="001F17A6" w:rsidRDefault="001F17A6" w:rsidP="00D0567B">
      <w:pPr>
        <w:pStyle w:val="l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r w:rsidRPr="00E114E1">
        <w:rPr>
          <w:b/>
          <w:bCs/>
          <w:u w:val="single"/>
        </w:rPr>
        <w:t>Odůvodnění</w:t>
      </w:r>
      <w:r w:rsidRPr="00E114E1">
        <w:rPr>
          <w:b/>
          <w:bCs/>
        </w:rPr>
        <w:t>:</w:t>
      </w:r>
    </w:p>
    <w:p w14:paraId="5292B7E1" w14:textId="77777777" w:rsidR="001F17A6" w:rsidRDefault="001F17A6" w:rsidP="00D0567B">
      <w:pPr>
        <w:pStyle w:val="l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14:paraId="0766BEA2" w14:textId="77777777" w:rsidR="001F17A6" w:rsidRDefault="001F17A6" w:rsidP="00D0567B">
      <w:pPr>
        <w:spacing w:line="276" w:lineRule="auto"/>
        <w:rPr>
          <w:b/>
          <w:bCs/>
        </w:rPr>
      </w:pPr>
      <w:r>
        <w:rPr>
          <w:b/>
          <w:bCs/>
        </w:rPr>
        <w:t>Obecně k navrhované změně</w:t>
      </w:r>
    </w:p>
    <w:p w14:paraId="582725CE" w14:textId="77777777" w:rsidR="00EE12DB" w:rsidRDefault="00EE12DB" w:rsidP="00D0567B">
      <w:pPr>
        <w:spacing w:line="276" w:lineRule="auto"/>
      </w:pPr>
    </w:p>
    <w:p w14:paraId="6FDA8D94" w14:textId="14C156AF" w:rsidR="00065D34" w:rsidRDefault="00D4087D" w:rsidP="00D0567B">
      <w:pPr>
        <w:spacing w:line="276" w:lineRule="auto"/>
      </w:pPr>
      <w:r>
        <w:t xml:space="preserve">Vzhledem k dynamickému prostředí internetu není podle současné právní úpravy možné efektivně </w:t>
      </w:r>
      <w:r w:rsidR="00FA0AA6">
        <w:t xml:space="preserve">bránit </w:t>
      </w:r>
      <w:r>
        <w:t>porušování nebo ohrožování autorských práv</w:t>
      </w:r>
      <w:r w:rsidR="00FA0AA6">
        <w:t xml:space="preserve"> na rychle se měnících platformách</w:t>
      </w:r>
      <w:r w:rsidR="00023A41">
        <w:t xml:space="preserve"> (internetových stránkách)</w:t>
      </w:r>
      <w:r>
        <w:t xml:space="preserve">. </w:t>
      </w:r>
    </w:p>
    <w:p w14:paraId="547847DA" w14:textId="77777777" w:rsidR="003760E5" w:rsidRDefault="003760E5" w:rsidP="00D0567B">
      <w:pPr>
        <w:spacing w:line="276" w:lineRule="auto"/>
      </w:pPr>
    </w:p>
    <w:p w14:paraId="5BFE71B1" w14:textId="64E09FFD" w:rsidR="00065D34" w:rsidRDefault="00822006" w:rsidP="00D0567B">
      <w:pPr>
        <w:spacing w:line="276" w:lineRule="auto"/>
        <w:rPr>
          <w:szCs w:val="24"/>
        </w:rPr>
      </w:pPr>
      <w:r>
        <w:rPr>
          <w:szCs w:val="24"/>
        </w:rPr>
        <w:t>Internet přitom v dnešní době umožňuje nejen nelegální sdílení filmů či hudby, ale také nezákonné sdílení živých přenosů</w:t>
      </w:r>
      <w:r w:rsidR="00023A41">
        <w:rPr>
          <w:szCs w:val="24"/>
        </w:rPr>
        <w:t>, tzv. streamů</w:t>
      </w:r>
      <w:r>
        <w:rPr>
          <w:szCs w:val="24"/>
        </w:rPr>
        <w:t xml:space="preserve"> </w:t>
      </w:r>
      <w:r w:rsidR="00E240E5">
        <w:rPr>
          <w:szCs w:val="24"/>
        </w:rPr>
        <w:t>–</w:t>
      </w:r>
      <w:r>
        <w:rPr>
          <w:szCs w:val="24"/>
        </w:rPr>
        <w:t xml:space="preserve"> </w:t>
      </w:r>
      <w:r w:rsidR="00E240E5">
        <w:rPr>
          <w:szCs w:val="24"/>
        </w:rPr>
        <w:t xml:space="preserve">ať </w:t>
      </w:r>
      <w:r w:rsidR="00023A41">
        <w:rPr>
          <w:szCs w:val="24"/>
        </w:rPr>
        <w:t>ji</w:t>
      </w:r>
      <w:r w:rsidR="00E240E5">
        <w:rPr>
          <w:szCs w:val="24"/>
        </w:rPr>
        <w:t xml:space="preserve">ž </w:t>
      </w:r>
      <w:r>
        <w:rPr>
          <w:szCs w:val="24"/>
        </w:rPr>
        <w:t xml:space="preserve">sportovních událostí, koncertů či </w:t>
      </w:r>
      <w:r w:rsidR="00023A41">
        <w:rPr>
          <w:szCs w:val="24"/>
        </w:rPr>
        <w:t>jinak autorsky chráněného obsahu</w:t>
      </w:r>
      <w:r>
        <w:rPr>
          <w:szCs w:val="24"/>
        </w:rPr>
        <w:t xml:space="preserve">. </w:t>
      </w:r>
      <w:r w:rsidR="00AC33CF">
        <w:rPr>
          <w:szCs w:val="24"/>
        </w:rPr>
        <w:t>H</w:t>
      </w:r>
      <w:r>
        <w:rPr>
          <w:szCs w:val="24"/>
        </w:rPr>
        <w:t xml:space="preserve">odnota těchto přenosů tkví právě v okamžiku jejich </w:t>
      </w:r>
      <w:r w:rsidR="0014579D">
        <w:rPr>
          <w:szCs w:val="24"/>
        </w:rPr>
        <w:t xml:space="preserve">živého </w:t>
      </w:r>
      <w:r>
        <w:rPr>
          <w:szCs w:val="24"/>
        </w:rPr>
        <w:t>vysílání</w:t>
      </w:r>
      <w:r w:rsidR="00A60044">
        <w:rPr>
          <w:szCs w:val="24"/>
        </w:rPr>
        <w:t xml:space="preserve"> </w:t>
      </w:r>
      <w:r w:rsidR="0014579D">
        <w:rPr>
          <w:szCs w:val="24"/>
        </w:rPr>
        <w:t xml:space="preserve">on-line </w:t>
      </w:r>
      <w:r w:rsidR="00A60044">
        <w:rPr>
          <w:szCs w:val="24"/>
        </w:rPr>
        <w:t xml:space="preserve">a po skončení přímého přenosu </w:t>
      </w:r>
      <w:r w:rsidR="00022F32">
        <w:rPr>
          <w:szCs w:val="24"/>
        </w:rPr>
        <w:t>rapidně klesá</w:t>
      </w:r>
      <w:r w:rsidR="00A60044">
        <w:rPr>
          <w:szCs w:val="24"/>
        </w:rPr>
        <w:t>.</w:t>
      </w:r>
      <w:r>
        <w:rPr>
          <w:szCs w:val="24"/>
        </w:rPr>
        <w:t xml:space="preserve"> Narůst</w:t>
      </w:r>
      <w:r w:rsidR="00A60044">
        <w:rPr>
          <w:szCs w:val="24"/>
        </w:rPr>
        <w:t>a</w:t>
      </w:r>
      <w:r>
        <w:rPr>
          <w:szCs w:val="24"/>
        </w:rPr>
        <w:t>jící množství</w:t>
      </w:r>
      <w:r w:rsidR="00A60044">
        <w:rPr>
          <w:szCs w:val="24"/>
        </w:rPr>
        <w:t xml:space="preserve"> živých přenosů je přitom </w:t>
      </w:r>
      <w:r w:rsidR="00065D34" w:rsidRPr="00065D34">
        <w:rPr>
          <w:szCs w:val="24"/>
        </w:rPr>
        <w:t xml:space="preserve">stále častěji </w:t>
      </w:r>
      <w:r w:rsidR="0014579D">
        <w:rPr>
          <w:szCs w:val="24"/>
        </w:rPr>
        <w:t>sdíleno</w:t>
      </w:r>
      <w:r w:rsidR="00A60044">
        <w:rPr>
          <w:szCs w:val="24"/>
        </w:rPr>
        <w:t xml:space="preserve"> na internetu</w:t>
      </w:r>
      <w:r w:rsidR="00065D34" w:rsidRPr="00065D34">
        <w:rPr>
          <w:szCs w:val="24"/>
        </w:rPr>
        <w:t xml:space="preserve"> prostřednictvím </w:t>
      </w:r>
      <w:r w:rsidR="00065D34" w:rsidRPr="006D3295">
        <w:rPr>
          <w:szCs w:val="24"/>
        </w:rPr>
        <w:t>nelegálních videostreamů</w:t>
      </w:r>
      <w:r w:rsidR="00065D34" w:rsidRPr="00065D34">
        <w:rPr>
          <w:b/>
          <w:bCs/>
          <w:szCs w:val="24"/>
        </w:rPr>
        <w:t xml:space="preserve"> </w:t>
      </w:r>
      <w:r w:rsidR="00065D34" w:rsidRPr="00065D34">
        <w:rPr>
          <w:szCs w:val="24"/>
        </w:rPr>
        <w:t xml:space="preserve">(případně prostřednictvím aplikací, které čerpají svůj obsah </w:t>
      </w:r>
      <w:r w:rsidR="00B17B06">
        <w:rPr>
          <w:szCs w:val="24"/>
        </w:rPr>
        <w:t>ze</w:t>
      </w:r>
      <w:r w:rsidR="00065D34" w:rsidRPr="00065D34">
        <w:rPr>
          <w:szCs w:val="24"/>
        </w:rPr>
        <w:t xml:space="preserve"> serverů, které nelegální videopřenosy šíří). Tento rostoucí trend </w:t>
      </w:r>
      <w:r w:rsidR="00166184">
        <w:rPr>
          <w:szCs w:val="24"/>
        </w:rPr>
        <w:t xml:space="preserve">poškozuje legální </w:t>
      </w:r>
      <w:r w:rsidR="00065D34" w:rsidRPr="00065D34">
        <w:rPr>
          <w:szCs w:val="24"/>
        </w:rPr>
        <w:t xml:space="preserve">nositele </w:t>
      </w:r>
      <w:r w:rsidR="00166184">
        <w:rPr>
          <w:szCs w:val="24"/>
        </w:rPr>
        <w:t xml:space="preserve">autorských </w:t>
      </w:r>
      <w:r w:rsidR="00065D34" w:rsidRPr="00065D34">
        <w:rPr>
          <w:szCs w:val="24"/>
        </w:rPr>
        <w:t xml:space="preserve">práv. </w:t>
      </w:r>
    </w:p>
    <w:p w14:paraId="0540540A" w14:textId="77777777" w:rsidR="00A60044" w:rsidRDefault="00A60044" w:rsidP="00D0567B">
      <w:pPr>
        <w:spacing w:line="276" w:lineRule="auto"/>
        <w:rPr>
          <w:szCs w:val="24"/>
        </w:rPr>
      </w:pPr>
    </w:p>
    <w:p w14:paraId="77468039" w14:textId="3BA91EC4" w:rsidR="00A60044" w:rsidRPr="006D3295" w:rsidRDefault="00A60044" w:rsidP="00D056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iCs/>
          <w:color w:val="000000"/>
          <w:szCs w:val="24"/>
        </w:rPr>
      </w:pPr>
      <w:r w:rsidRPr="00A60044">
        <w:rPr>
          <w:rFonts w:asciiTheme="majorBidi" w:hAnsiTheme="majorBidi" w:cstheme="majorBidi"/>
          <w:szCs w:val="24"/>
          <w:shd w:val="clear" w:color="auto" w:fill="FFFFFF"/>
        </w:rPr>
        <w:t xml:space="preserve">Šíření nelegálního internetového přenosu probíhá </w:t>
      </w:r>
      <w:r w:rsidRPr="006D3295">
        <w:rPr>
          <w:rFonts w:asciiTheme="majorBidi" w:hAnsiTheme="majorBidi" w:cstheme="majorBidi"/>
          <w:szCs w:val="24"/>
          <w:shd w:val="clear" w:color="auto" w:fill="FFFFFF"/>
        </w:rPr>
        <w:t xml:space="preserve">anonymně, většinou ze zahraničí. Pokud dojde k zablokování jednoho nelegálního streamu, vytvoření nové domény, odkud šíření nezákonného přenosu pokračuje, obvykle zabere </w:t>
      </w:r>
      <w:r w:rsidR="00B04D38">
        <w:rPr>
          <w:rFonts w:asciiTheme="majorBidi" w:hAnsiTheme="majorBidi" w:cstheme="majorBidi"/>
          <w:szCs w:val="24"/>
          <w:shd w:val="clear" w:color="auto" w:fill="FFFFFF"/>
        </w:rPr>
        <w:t xml:space="preserve">jen několik </w:t>
      </w:r>
      <w:r w:rsidRPr="006D3295">
        <w:rPr>
          <w:rFonts w:asciiTheme="majorBidi" w:hAnsiTheme="majorBidi" w:cstheme="majorBidi"/>
          <w:szCs w:val="24"/>
          <w:shd w:val="clear" w:color="auto" w:fill="FFFFFF"/>
        </w:rPr>
        <w:t>vteřin, případně jsou další adresy připraveny již předem. Navíc konkrétní držitel doménového jména je v naprosté většině případů skryt a nelze jej identifikovat. Tradiční způsoby ochrany tak v boji proti nelegálním internetovými přenosům selhávají.</w:t>
      </w:r>
    </w:p>
    <w:p w14:paraId="526E9492" w14:textId="77777777" w:rsidR="00A60044" w:rsidRPr="006D3295" w:rsidRDefault="00A60044" w:rsidP="00D0567B">
      <w:pPr>
        <w:spacing w:line="276" w:lineRule="auto"/>
        <w:rPr>
          <w:szCs w:val="24"/>
          <w:shd w:val="clear" w:color="auto" w:fill="FFFFFF"/>
        </w:rPr>
      </w:pPr>
    </w:p>
    <w:p w14:paraId="2208D463" w14:textId="620E1BD2" w:rsidR="00A60044" w:rsidRPr="006D3295" w:rsidRDefault="00A60044" w:rsidP="00D0567B">
      <w:pPr>
        <w:spacing w:line="276" w:lineRule="auto"/>
        <w:rPr>
          <w:szCs w:val="24"/>
        </w:rPr>
      </w:pPr>
      <w:r w:rsidRPr="006D3295">
        <w:rPr>
          <w:szCs w:val="24"/>
        </w:rPr>
        <w:t xml:space="preserve">Soudy napříč EU tak v boji proti internetovým stránkám s protiprávním obsahem zvolily jedinou možnou cestu – na návrh držitelů práv vydávají předběžná opatření, tzv. </w:t>
      </w:r>
      <w:r w:rsidRPr="006D3295">
        <w:rPr>
          <w:i/>
          <w:iCs/>
          <w:szCs w:val="24"/>
        </w:rPr>
        <w:t>blokovací příkazy</w:t>
      </w:r>
      <w:r w:rsidRPr="006D3295">
        <w:rPr>
          <w:szCs w:val="24"/>
        </w:rPr>
        <w:t>, kterým poskytovatelům internetového připojení ukládají povinnost znemožnit uživatelům přístup k</w:t>
      </w:r>
      <w:r w:rsidR="00DF74C9">
        <w:rPr>
          <w:szCs w:val="24"/>
        </w:rPr>
        <w:t>e</w:t>
      </w:r>
      <w:r w:rsidRPr="006D3295">
        <w:rPr>
          <w:szCs w:val="24"/>
        </w:rPr>
        <w:t> </w:t>
      </w:r>
      <w:r w:rsidR="00DF74C9">
        <w:rPr>
          <w:szCs w:val="24"/>
        </w:rPr>
        <w:t>konkrétním internetovým stránkám s nelegálním obsahem</w:t>
      </w:r>
      <w:r w:rsidRPr="006D3295">
        <w:rPr>
          <w:szCs w:val="24"/>
        </w:rPr>
        <w:t xml:space="preserve">. </w:t>
      </w:r>
    </w:p>
    <w:p w14:paraId="3C567730" w14:textId="77777777" w:rsidR="006D3295" w:rsidRPr="006D3295" w:rsidRDefault="006D3295" w:rsidP="00D0567B">
      <w:pPr>
        <w:spacing w:line="276" w:lineRule="auto"/>
        <w:rPr>
          <w:szCs w:val="24"/>
        </w:rPr>
      </w:pPr>
    </w:p>
    <w:p w14:paraId="4708F167" w14:textId="105F3ED2" w:rsidR="006D3295" w:rsidRPr="006D3295" w:rsidRDefault="006D3295" w:rsidP="00D056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Cs w:val="24"/>
          <w:shd w:val="clear" w:color="auto" w:fill="FFFFFF"/>
        </w:rPr>
      </w:pPr>
      <w:r w:rsidRPr="006D3295">
        <w:rPr>
          <w:szCs w:val="24"/>
        </w:rPr>
        <w:t xml:space="preserve">Pokročilejší a podstatně účinnější variantou blokovacích příkazů jsou tzv. </w:t>
      </w:r>
      <w:r w:rsidRPr="006D3295">
        <w:rPr>
          <w:i/>
          <w:iCs/>
          <w:szCs w:val="24"/>
        </w:rPr>
        <w:t>dynamické blokovací příkazy</w:t>
      </w:r>
      <w:r w:rsidR="00740434">
        <w:rPr>
          <w:i/>
          <w:iCs/>
          <w:szCs w:val="24"/>
        </w:rPr>
        <w:t>,</w:t>
      </w:r>
      <w:r w:rsidRPr="006D3295">
        <w:rPr>
          <w:szCs w:val="24"/>
        </w:rPr>
        <w:t xml:space="preserve"> jejichž cílem je zamezit opakovanému porušování práv na různých </w:t>
      </w:r>
      <w:r>
        <w:rPr>
          <w:szCs w:val="24"/>
        </w:rPr>
        <w:t>místech na internetu</w:t>
      </w:r>
      <w:r w:rsidRPr="006D3295">
        <w:rPr>
          <w:szCs w:val="24"/>
        </w:rPr>
        <w:t xml:space="preserve">, tj. i těch, které jsou zřízeny dodatečně, a tím zvýšit účinnost opatření pro držitele práv. Dynamické blokovací příkazy tak účinně řeší i případy, kdy se bezprostředně po vydání rozhodnutí zpřístupní obsahově prakticky stejná internetová stránka s jiným doménovým jménem a/nebo jinou IP adresou. Jinak řečeno, na rozdíl od „obyčejných“ blokovacích příkazů, </w:t>
      </w:r>
      <w:r w:rsidRPr="006D3295">
        <w:rPr>
          <w:szCs w:val="24"/>
        </w:rPr>
        <w:lastRenderedPageBreak/>
        <w:t>které se vztahují pouze na taxativn</w:t>
      </w:r>
      <w:r w:rsidR="00E240E5">
        <w:rPr>
          <w:szCs w:val="24"/>
        </w:rPr>
        <w:t>ě vymezený</w:t>
      </w:r>
      <w:r w:rsidRPr="006D3295">
        <w:rPr>
          <w:szCs w:val="24"/>
        </w:rPr>
        <w:t xml:space="preserve"> výčet </w:t>
      </w:r>
      <w:r w:rsidR="0092316A">
        <w:rPr>
          <w:szCs w:val="24"/>
        </w:rPr>
        <w:t>internetových stránek s protiprávním obsahem</w:t>
      </w:r>
      <w:r w:rsidR="0092316A" w:rsidRPr="0092316A">
        <w:rPr>
          <w:szCs w:val="24"/>
        </w:rPr>
        <w:t xml:space="preserve"> </w:t>
      </w:r>
      <w:r w:rsidR="0092316A" w:rsidRPr="006D3295">
        <w:rPr>
          <w:szCs w:val="24"/>
        </w:rPr>
        <w:t>identifikovaných</w:t>
      </w:r>
      <w:r w:rsidR="0092316A">
        <w:rPr>
          <w:szCs w:val="24"/>
        </w:rPr>
        <w:t xml:space="preserve"> v</w:t>
      </w:r>
      <w:r w:rsidR="00E92937">
        <w:rPr>
          <w:szCs w:val="24"/>
        </w:rPr>
        <w:t xml:space="preserve"> přítomnosti a </w:t>
      </w:r>
      <w:r w:rsidR="0092316A">
        <w:rPr>
          <w:szCs w:val="24"/>
        </w:rPr>
        <w:t>minulosti</w:t>
      </w:r>
      <w:r w:rsidR="00E240E5">
        <w:rPr>
          <w:szCs w:val="24"/>
        </w:rPr>
        <w:t>, které</w:t>
      </w:r>
      <w:r w:rsidR="00EA7352">
        <w:rPr>
          <w:szCs w:val="24"/>
        </w:rPr>
        <w:t> </w:t>
      </w:r>
      <w:r w:rsidR="00E240E5">
        <w:rPr>
          <w:szCs w:val="24"/>
        </w:rPr>
        <w:t>se přesně vymezují</w:t>
      </w:r>
      <w:r w:rsidR="00E240E5" w:rsidRPr="006D3295">
        <w:rPr>
          <w:szCs w:val="24"/>
        </w:rPr>
        <w:t xml:space="preserve"> </w:t>
      </w:r>
      <w:r w:rsidRPr="006D3295">
        <w:rPr>
          <w:szCs w:val="24"/>
        </w:rPr>
        <w:t xml:space="preserve">v návrhu na nařízení předběžného opatření či v žalobě, dynamické blokovací příkazy </w:t>
      </w:r>
      <w:r w:rsidR="00E240E5" w:rsidRPr="006D3295">
        <w:rPr>
          <w:szCs w:val="24"/>
        </w:rPr>
        <w:t xml:space="preserve">se </w:t>
      </w:r>
      <w:r w:rsidRPr="006D3295">
        <w:rPr>
          <w:szCs w:val="24"/>
        </w:rPr>
        <w:t xml:space="preserve">vztahují i na </w:t>
      </w:r>
      <w:r>
        <w:rPr>
          <w:szCs w:val="24"/>
        </w:rPr>
        <w:t xml:space="preserve">ta </w:t>
      </w:r>
      <w:r w:rsidR="00BD7CF7">
        <w:rPr>
          <w:szCs w:val="24"/>
        </w:rPr>
        <w:t xml:space="preserve">stránky, IP adresy či jiná </w:t>
      </w:r>
      <w:r>
        <w:rPr>
          <w:szCs w:val="24"/>
        </w:rPr>
        <w:t>místa</w:t>
      </w:r>
      <w:r w:rsidRPr="006D3295">
        <w:rPr>
          <w:szCs w:val="24"/>
        </w:rPr>
        <w:t xml:space="preserve">, které v době </w:t>
      </w:r>
      <w:r w:rsidR="00EA7352">
        <w:rPr>
          <w:szCs w:val="24"/>
        </w:rPr>
        <w:t>vydání rozhodnutí soudu</w:t>
      </w:r>
      <w:r w:rsidRPr="006D3295">
        <w:rPr>
          <w:szCs w:val="24"/>
        </w:rPr>
        <w:t xml:space="preserve"> nejsou, a ani nemohou být identifikován</w:t>
      </w:r>
      <w:r>
        <w:rPr>
          <w:szCs w:val="24"/>
        </w:rPr>
        <w:t>a (neboť ještě nevznikla)</w:t>
      </w:r>
      <w:r w:rsidRPr="006D3295">
        <w:rPr>
          <w:szCs w:val="24"/>
        </w:rPr>
        <w:t xml:space="preserve">. </w:t>
      </w:r>
      <w:r w:rsidR="00A15F21">
        <w:rPr>
          <w:szCs w:val="24"/>
        </w:rPr>
        <w:t>D</w:t>
      </w:r>
      <w:r w:rsidRPr="006D3295">
        <w:rPr>
          <w:szCs w:val="24"/>
        </w:rPr>
        <w:t xml:space="preserve">ynamické blokovací příkazy </w:t>
      </w:r>
      <w:r w:rsidR="00A15F21">
        <w:rPr>
          <w:szCs w:val="24"/>
        </w:rPr>
        <w:t xml:space="preserve">jsou </w:t>
      </w:r>
      <w:r w:rsidRPr="006D3295">
        <w:rPr>
          <w:szCs w:val="24"/>
        </w:rPr>
        <w:t xml:space="preserve">jediným efektivním způsobem, jak dopad nelegálních streamů minimalizovat. </w:t>
      </w:r>
    </w:p>
    <w:p w14:paraId="3D21DAE7" w14:textId="77777777" w:rsidR="006D3295" w:rsidRPr="006D3295" w:rsidRDefault="006D3295" w:rsidP="00D0567B">
      <w:pPr>
        <w:spacing w:line="276" w:lineRule="auto"/>
        <w:rPr>
          <w:szCs w:val="24"/>
          <w:shd w:val="clear" w:color="auto" w:fill="FFFFFF"/>
        </w:rPr>
      </w:pPr>
    </w:p>
    <w:p w14:paraId="741B6775" w14:textId="1106936B" w:rsidR="006D3295" w:rsidRDefault="006D3295" w:rsidP="00D0567B">
      <w:pPr>
        <w:keepNext/>
        <w:spacing w:line="276" w:lineRule="auto"/>
        <w:rPr>
          <w:szCs w:val="24"/>
        </w:rPr>
      </w:pPr>
      <w:r w:rsidRPr="006D3295">
        <w:rPr>
          <w:szCs w:val="24"/>
          <w:shd w:val="clear" w:color="auto" w:fill="FFFFFF"/>
        </w:rPr>
        <w:t xml:space="preserve">Nejšetrnějším způsobem je </w:t>
      </w:r>
      <w:r>
        <w:rPr>
          <w:szCs w:val="24"/>
          <w:shd w:val="clear" w:color="auto" w:fill="FFFFFF"/>
        </w:rPr>
        <w:t xml:space="preserve">pak </w:t>
      </w:r>
      <w:r w:rsidRPr="006D3295">
        <w:rPr>
          <w:szCs w:val="24"/>
          <w:shd w:val="clear" w:color="auto" w:fill="FFFFFF"/>
        </w:rPr>
        <w:t xml:space="preserve">tzv. živé blokování, kdy je </w:t>
      </w:r>
      <w:r w:rsidRPr="006D3295">
        <w:rPr>
          <w:szCs w:val="24"/>
        </w:rPr>
        <w:t xml:space="preserve">nahlášená IP adresa nebo doména zablokována jen na předem definovanou dobu </w:t>
      </w:r>
      <w:r w:rsidR="000B14DC">
        <w:rPr>
          <w:szCs w:val="24"/>
        </w:rPr>
        <w:t xml:space="preserve">odpovídající době živého přenosu určité události </w:t>
      </w:r>
      <w:r w:rsidRPr="006D3295">
        <w:rPr>
          <w:szCs w:val="24"/>
        </w:rPr>
        <w:t xml:space="preserve">a poté je automaticky odblokována. Tento způsob je vhodný pro blokování nelegálních videopřenosů </w:t>
      </w:r>
      <w:r>
        <w:rPr>
          <w:szCs w:val="24"/>
        </w:rPr>
        <w:t xml:space="preserve">živých </w:t>
      </w:r>
      <w:r w:rsidRPr="006D3295">
        <w:rPr>
          <w:szCs w:val="24"/>
        </w:rPr>
        <w:t>událostí, např.</w:t>
      </w:r>
      <w:r w:rsidR="000C3656">
        <w:rPr>
          <w:szCs w:val="24"/>
        </w:rPr>
        <w:t xml:space="preserve"> koncertů</w:t>
      </w:r>
      <w:r w:rsidR="00C72EAC">
        <w:rPr>
          <w:szCs w:val="24"/>
        </w:rPr>
        <w:t xml:space="preserve"> či</w:t>
      </w:r>
      <w:r w:rsidR="000C3656">
        <w:rPr>
          <w:szCs w:val="24"/>
        </w:rPr>
        <w:t xml:space="preserve"> sportovních utkání.</w:t>
      </w:r>
      <w:r w:rsidRPr="006D3295">
        <w:rPr>
          <w:szCs w:val="24"/>
        </w:rPr>
        <w:t xml:space="preserve"> Zásah do práv uživatelů internetu se tímto způsobem minimalizuje, neboť se omezí pouze na dobu šíření nelegálního obsahu. </w:t>
      </w:r>
    </w:p>
    <w:p w14:paraId="754F1C50" w14:textId="77777777" w:rsidR="00D234B1" w:rsidRDefault="00D234B1" w:rsidP="00D0567B">
      <w:pPr>
        <w:keepNext/>
        <w:spacing w:line="276" w:lineRule="auto"/>
        <w:rPr>
          <w:szCs w:val="24"/>
        </w:rPr>
      </w:pPr>
    </w:p>
    <w:p w14:paraId="4E85B5B0" w14:textId="610AB57B" w:rsidR="00D234B1" w:rsidRPr="00064E57" w:rsidRDefault="00842305" w:rsidP="00D056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iCs/>
          <w:color w:val="000000"/>
        </w:rPr>
      </w:pPr>
      <w:r>
        <w:rPr>
          <w:iCs/>
          <w:color w:val="000000"/>
          <w:szCs w:val="24"/>
        </w:rPr>
        <w:t xml:space="preserve">Při </w:t>
      </w:r>
      <w:r w:rsidR="00FB21F7">
        <w:rPr>
          <w:iCs/>
          <w:color w:val="000000"/>
          <w:szCs w:val="24"/>
        </w:rPr>
        <w:t xml:space="preserve">blokování </w:t>
      </w:r>
      <w:r w:rsidR="00BA6F3C">
        <w:rPr>
          <w:iCs/>
          <w:color w:val="000000"/>
          <w:szCs w:val="24"/>
        </w:rPr>
        <w:t xml:space="preserve">shodného </w:t>
      </w:r>
      <w:r>
        <w:rPr>
          <w:iCs/>
          <w:color w:val="000000"/>
          <w:szCs w:val="24"/>
        </w:rPr>
        <w:t>protiprávního obsahu</w:t>
      </w:r>
      <w:r w:rsidR="00FB21F7">
        <w:rPr>
          <w:iCs/>
          <w:color w:val="000000"/>
          <w:szCs w:val="24"/>
        </w:rPr>
        <w:t xml:space="preserve"> </w:t>
      </w:r>
      <w:r w:rsidR="00BA6F3C">
        <w:rPr>
          <w:iCs/>
          <w:color w:val="000000"/>
          <w:szCs w:val="24"/>
        </w:rPr>
        <w:t xml:space="preserve">v budoucnu </w:t>
      </w:r>
      <w:r w:rsidR="000F6BB4">
        <w:rPr>
          <w:iCs/>
          <w:color w:val="000000"/>
          <w:szCs w:val="24"/>
        </w:rPr>
        <w:t>poskytovatel</w:t>
      </w:r>
      <w:r w:rsidR="00FB21F7">
        <w:rPr>
          <w:iCs/>
          <w:color w:val="000000"/>
          <w:szCs w:val="24"/>
        </w:rPr>
        <w:t>é</w:t>
      </w:r>
      <w:r w:rsidR="0030226E">
        <w:rPr>
          <w:iCs/>
          <w:color w:val="000000"/>
          <w:szCs w:val="24"/>
        </w:rPr>
        <w:t xml:space="preserve"> </w:t>
      </w:r>
      <w:r w:rsidR="000F6BB4">
        <w:rPr>
          <w:iCs/>
          <w:color w:val="000000"/>
          <w:szCs w:val="24"/>
        </w:rPr>
        <w:t>internetového připojení</w:t>
      </w:r>
      <w:r w:rsidR="00FB21F7">
        <w:rPr>
          <w:iCs/>
          <w:color w:val="000000"/>
          <w:szCs w:val="24"/>
        </w:rPr>
        <w:t xml:space="preserve"> </w:t>
      </w:r>
      <w:r w:rsidR="001634A1">
        <w:rPr>
          <w:iCs/>
          <w:color w:val="000000"/>
          <w:szCs w:val="24"/>
        </w:rPr>
        <w:t>běžně spolupracují s držiteli autorských práv</w:t>
      </w:r>
      <w:r w:rsidR="00FB21F7">
        <w:rPr>
          <w:iCs/>
          <w:color w:val="000000"/>
          <w:szCs w:val="24"/>
        </w:rPr>
        <w:t xml:space="preserve">, kteří </w:t>
      </w:r>
      <w:r w:rsidR="00A26012">
        <w:rPr>
          <w:iCs/>
          <w:color w:val="000000"/>
          <w:szCs w:val="24"/>
        </w:rPr>
        <w:t xml:space="preserve">tento obsah na internetu </w:t>
      </w:r>
      <w:r w:rsidR="00F16DE0">
        <w:rPr>
          <w:iCs/>
          <w:color w:val="000000"/>
          <w:szCs w:val="24"/>
        </w:rPr>
        <w:t xml:space="preserve">vyhledávají, </w:t>
      </w:r>
      <w:r w:rsidR="00FB21F7">
        <w:rPr>
          <w:iCs/>
          <w:color w:val="000000"/>
          <w:szCs w:val="24"/>
        </w:rPr>
        <w:t>identifikují a</w:t>
      </w:r>
      <w:r w:rsidR="00F16DE0">
        <w:rPr>
          <w:iCs/>
          <w:color w:val="000000"/>
          <w:szCs w:val="24"/>
        </w:rPr>
        <w:t> </w:t>
      </w:r>
      <w:r w:rsidR="00FB21F7">
        <w:rPr>
          <w:iCs/>
          <w:color w:val="000000"/>
          <w:szCs w:val="24"/>
        </w:rPr>
        <w:t xml:space="preserve">automatizovaně (on-line) </w:t>
      </w:r>
      <w:r w:rsidR="00F16DE0">
        <w:rPr>
          <w:iCs/>
          <w:color w:val="000000"/>
          <w:szCs w:val="24"/>
        </w:rPr>
        <w:t xml:space="preserve">notifikují </w:t>
      </w:r>
      <w:r w:rsidR="00C63DE3">
        <w:rPr>
          <w:iCs/>
          <w:color w:val="000000"/>
          <w:szCs w:val="24"/>
        </w:rPr>
        <w:t xml:space="preserve">jeho výskyt a adresy </w:t>
      </w:r>
      <w:r w:rsidR="00F16DE0">
        <w:rPr>
          <w:iCs/>
          <w:color w:val="000000"/>
          <w:szCs w:val="24"/>
        </w:rPr>
        <w:t>poskytovatelům internetového připojení</w:t>
      </w:r>
      <w:r w:rsidR="00C63DE3">
        <w:rPr>
          <w:iCs/>
          <w:color w:val="000000"/>
          <w:szCs w:val="24"/>
        </w:rPr>
        <w:t xml:space="preserve"> k přijetí okamžitých opatření</w:t>
      </w:r>
      <w:r w:rsidR="00F16DE0">
        <w:rPr>
          <w:iCs/>
          <w:color w:val="000000"/>
          <w:szCs w:val="24"/>
        </w:rPr>
        <w:t>.</w:t>
      </w:r>
      <w:r w:rsidR="00BF25D9">
        <w:rPr>
          <w:iCs/>
          <w:color w:val="000000"/>
          <w:szCs w:val="24"/>
        </w:rPr>
        <w:t xml:space="preserve"> </w:t>
      </w:r>
      <w:r w:rsidR="004C7026">
        <w:rPr>
          <w:iCs/>
          <w:color w:val="000000"/>
          <w:szCs w:val="24"/>
        </w:rPr>
        <w:t xml:space="preserve"> </w:t>
      </w:r>
    </w:p>
    <w:p w14:paraId="1B9D85F8" w14:textId="77777777" w:rsidR="00D234B1" w:rsidRPr="006D3295" w:rsidRDefault="00D234B1" w:rsidP="00D0567B">
      <w:pPr>
        <w:keepNext/>
        <w:spacing w:line="276" w:lineRule="auto"/>
        <w:rPr>
          <w:szCs w:val="24"/>
          <w:shd w:val="clear" w:color="auto" w:fill="FFFFFF"/>
        </w:rPr>
      </w:pPr>
    </w:p>
    <w:p w14:paraId="4844F5EE" w14:textId="1F6B8C66" w:rsidR="000C3656" w:rsidRPr="000C3656" w:rsidRDefault="000C3656" w:rsidP="00D056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szCs w:val="24"/>
        </w:rPr>
      </w:pPr>
      <w:r w:rsidRPr="000C3656">
        <w:rPr>
          <w:b/>
          <w:bCs/>
          <w:szCs w:val="24"/>
        </w:rPr>
        <w:t>Zahraniční praxe</w:t>
      </w:r>
      <w:r w:rsidR="005A2D14">
        <w:rPr>
          <w:b/>
          <w:bCs/>
          <w:szCs w:val="24"/>
        </w:rPr>
        <w:t xml:space="preserve"> dynamického blokování</w:t>
      </w:r>
    </w:p>
    <w:p w14:paraId="66BAA640" w14:textId="77777777" w:rsidR="006D3295" w:rsidRPr="000C3656" w:rsidRDefault="006D3295" w:rsidP="00D056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Cs w:val="24"/>
        </w:rPr>
      </w:pPr>
    </w:p>
    <w:p w14:paraId="562F6477" w14:textId="4C1B3BA9" w:rsidR="000C3656" w:rsidRPr="001E44B2" w:rsidRDefault="00313267" w:rsidP="00D056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iCs/>
          <w:color w:val="000000"/>
          <w:szCs w:val="24"/>
        </w:rPr>
      </w:pPr>
      <w:r>
        <w:rPr>
          <w:color w:val="000000"/>
          <w:szCs w:val="24"/>
        </w:rPr>
        <w:t>Odborná veřejnost i s</w:t>
      </w:r>
      <w:r w:rsidR="000C3656" w:rsidRPr="001E44B2">
        <w:rPr>
          <w:color w:val="000000"/>
          <w:szCs w:val="24"/>
        </w:rPr>
        <w:t xml:space="preserve">oudy napříč Evropskou unií (i v dalších státech) se shodují, že dynamické blokovací příkazy jsou prakticky jediným efektivním způsobem, jak porušování práv k vysílání v rámci internetu řešit. </w:t>
      </w:r>
      <w:r w:rsidR="000C3656" w:rsidRPr="001E44B2">
        <w:rPr>
          <w:szCs w:val="24"/>
        </w:rPr>
        <w:t>Italské soudy dokonce výslovně uvedly, že dynamické blokovací soudní příkazy představují jediný prostředek, který může mít požadovaný účinek, neboť jsou schopny (i) zabránit neoprávněnému přístupu k předmětu ochrany nebo alespoň (ii)</w:t>
      </w:r>
      <w:r w:rsidR="00B946EA">
        <w:rPr>
          <w:szCs w:val="24"/>
        </w:rPr>
        <w:t> </w:t>
      </w:r>
      <w:r w:rsidR="000C3656" w:rsidRPr="001E44B2">
        <w:rPr>
          <w:szCs w:val="24"/>
        </w:rPr>
        <w:t>ztížit jeho dosažení a zároveň (iii) vážně odradit uživatele internetu</w:t>
      </w:r>
      <w:r w:rsidR="00022F32">
        <w:rPr>
          <w:szCs w:val="24"/>
        </w:rPr>
        <w:t>.</w:t>
      </w:r>
      <w:r w:rsidR="000C3656" w:rsidRPr="001E44B2">
        <w:rPr>
          <w:szCs w:val="24"/>
        </w:rPr>
        <w:t xml:space="preserve"> </w:t>
      </w:r>
    </w:p>
    <w:p w14:paraId="5728FECC" w14:textId="77777777" w:rsidR="000C3656" w:rsidRPr="001E44B2" w:rsidRDefault="000C3656" w:rsidP="00D056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iCs/>
          <w:color w:val="000000"/>
          <w:szCs w:val="24"/>
        </w:rPr>
      </w:pPr>
    </w:p>
    <w:p w14:paraId="732E1C51" w14:textId="77777777" w:rsidR="000C3656" w:rsidRPr="001E44B2" w:rsidRDefault="000C3656" w:rsidP="00D056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iCs/>
          <w:color w:val="000000"/>
          <w:szCs w:val="24"/>
        </w:rPr>
      </w:pPr>
      <w:r w:rsidRPr="001E44B2">
        <w:rPr>
          <w:szCs w:val="24"/>
        </w:rPr>
        <w:t xml:space="preserve">Mezi státy, jejichž soudy již taková rozhodnutí vydaly, patří např. Velká Británie, Nizozemí, Dánsko, Francie, Itálie, Španělsko, ale i Malta nebo Řecko. Z mimoevropských států pak lze zmínit např. Kanadu, Austrálii, Indii či Singapur. </w:t>
      </w:r>
    </w:p>
    <w:p w14:paraId="4B014FA1" w14:textId="77777777" w:rsidR="000C3656" w:rsidRPr="001E44B2" w:rsidRDefault="000C3656" w:rsidP="00D056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Cs w:val="24"/>
        </w:rPr>
      </w:pPr>
    </w:p>
    <w:p w14:paraId="0C58A53D" w14:textId="153F4603" w:rsidR="000C3656" w:rsidRPr="001E44B2" w:rsidRDefault="000C3656" w:rsidP="00D056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iCs/>
          <w:color w:val="000000"/>
          <w:szCs w:val="24"/>
        </w:rPr>
      </w:pPr>
      <w:r w:rsidRPr="001E44B2">
        <w:rPr>
          <w:szCs w:val="24"/>
        </w:rPr>
        <w:t xml:space="preserve">Ve všech případech se obecně jedná o soudní rozhodnutí zavazující </w:t>
      </w:r>
      <w:r w:rsidR="001E44B2" w:rsidRPr="001E44B2">
        <w:rPr>
          <w:szCs w:val="24"/>
        </w:rPr>
        <w:t>poskytovatele internetového připojení</w:t>
      </w:r>
      <w:r w:rsidRPr="001E44B2">
        <w:rPr>
          <w:szCs w:val="24"/>
        </w:rPr>
        <w:t xml:space="preserve"> zamezit uživatelům přístup k</w:t>
      </w:r>
      <w:r w:rsidR="001E44B2" w:rsidRPr="001E44B2">
        <w:rPr>
          <w:szCs w:val="24"/>
        </w:rPr>
        <w:t> místům s nezákonném obsahem na internetu</w:t>
      </w:r>
      <w:r w:rsidRPr="001E44B2">
        <w:rPr>
          <w:szCs w:val="24"/>
        </w:rPr>
        <w:t xml:space="preserve"> a dalším případným </w:t>
      </w:r>
      <w:r w:rsidR="001E44B2" w:rsidRPr="001E44B2">
        <w:rPr>
          <w:szCs w:val="24"/>
        </w:rPr>
        <w:t>místům</w:t>
      </w:r>
      <w:r w:rsidRPr="001E44B2">
        <w:rPr>
          <w:szCs w:val="24"/>
        </w:rPr>
        <w:t xml:space="preserve"> se stejným </w:t>
      </w:r>
      <w:r w:rsidR="001E44B2" w:rsidRPr="001E44B2">
        <w:rPr>
          <w:szCs w:val="24"/>
        </w:rPr>
        <w:t xml:space="preserve">nezákonným </w:t>
      </w:r>
      <w:r w:rsidRPr="001E44B2">
        <w:rPr>
          <w:szCs w:val="24"/>
        </w:rPr>
        <w:t>obsahem, kter</w:t>
      </w:r>
      <w:r w:rsidR="005A2D14">
        <w:rPr>
          <w:szCs w:val="24"/>
        </w:rPr>
        <w:t>á</w:t>
      </w:r>
      <w:r w:rsidRPr="001E44B2">
        <w:rPr>
          <w:szCs w:val="24"/>
        </w:rPr>
        <w:t xml:space="preserve"> nebyl</w:t>
      </w:r>
      <w:r w:rsidR="005A2D14">
        <w:rPr>
          <w:szCs w:val="24"/>
        </w:rPr>
        <w:t>a</w:t>
      </w:r>
      <w:r w:rsidRPr="001E44B2">
        <w:rPr>
          <w:szCs w:val="24"/>
        </w:rPr>
        <w:t xml:space="preserve"> uveden</w:t>
      </w:r>
      <w:r w:rsidR="005A2D14">
        <w:rPr>
          <w:szCs w:val="24"/>
        </w:rPr>
        <w:t>a</w:t>
      </w:r>
      <w:r w:rsidRPr="001E44B2">
        <w:rPr>
          <w:szCs w:val="24"/>
        </w:rPr>
        <w:t xml:space="preserve"> v původním rozhodnutí, čímž se dopad nelegálních streamů</w:t>
      </w:r>
      <w:r w:rsidR="001E44B2" w:rsidRPr="001E44B2">
        <w:rPr>
          <w:szCs w:val="24"/>
        </w:rPr>
        <w:t xml:space="preserve"> minimalizuje</w:t>
      </w:r>
      <w:r w:rsidRPr="001E44B2">
        <w:rPr>
          <w:szCs w:val="24"/>
        </w:rPr>
        <w:t xml:space="preserve">. </w:t>
      </w:r>
    </w:p>
    <w:p w14:paraId="56622A97" w14:textId="77777777" w:rsidR="001E44B2" w:rsidRDefault="001E44B2" w:rsidP="00D056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Cs w:val="24"/>
        </w:rPr>
      </w:pPr>
    </w:p>
    <w:p w14:paraId="7D3324C4" w14:textId="12F7A0D0" w:rsidR="000C3656" w:rsidRPr="001E44B2" w:rsidRDefault="000C3656" w:rsidP="00D056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iCs/>
          <w:color w:val="000000"/>
          <w:szCs w:val="24"/>
        </w:rPr>
      </w:pPr>
      <w:r w:rsidRPr="001E44B2">
        <w:rPr>
          <w:szCs w:val="24"/>
        </w:rPr>
        <w:t xml:space="preserve">Nejedná se tedy o příkazy určené samotným provozovatelům webů šířících nelegální obsah, kteří jsou často neznámí, nachází se v zahraničí nebo se skrývají, takže by faktická exekuce soudního příkazu byla nemožná. Povinnost je ukládaná jednotlivým </w:t>
      </w:r>
      <w:r w:rsidR="001E44B2">
        <w:rPr>
          <w:szCs w:val="24"/>
        </w:rPr>
        <w:t>poskytovatelům internetového připojení</w:t>
      </w:r>
      <w:r w:rsidRPr="001E44B2">
        <w:rPr>
          <w:szCs w:val="24"/>
        </w:rPr>
        <w:t>.</w:t>
      </w:r>
      <w:r w:rsidR="001E44B2">
        <w:rPr>
          <w:i/>
          <w:iCs/>
          <w:color w:val="000000"/>
          <w:szCs w:val="24"/>
        </w:rPr>
        <w:t xml:space="preserve"> </w:t>
      </w:r>
    </w:p>
    <w:p w14:paraId="2E165D9B" w14:textId="77777777" w:rsidR="000C3656" w:rsidRPr="001E44B2" w:rsidRDefault="000C3656" w:rsidP="00D056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iCs/>
          <w:color w:val="000000"/>
        </w:rPr>
      </w:pPr>
    </w:p>
    <w:p w14:paraId="2B11CB2B" w14:textId="3D53F7DF" w:rsidR="000C3656" w:rsidRPr="001E44B2" w:rsidRDefault="000C3656" w:rsidP="00D056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iCs/>
          <w:color w:val="000000"/>
          <w:szCs w:val="24"/>
        </w:rPr>
      </w:pPr>
      <w:r w:rsidRPr="001E44B2">
        <w:rPr>
          <w:szCs w:val="24"/>
        </w:rPr>
        <w:lastRenderedPageBreak/>
        <w:t xml:space="preserve">Tento postup je zároveň plně v souladu </w:t>
      </w:r>
      <w:r w:rsidR="001E44B2">
        <w:rPr>
          <w:szCs w:val="24"/>
        </w:rPr>
        <w:t>např. s r</w:t>
      </w:r>
      <w:r w:rsidRPr="001E44B2">
        <w:rPr>
          <w:szCs w:val="24"/>
        </w:rPr>
        <w:t>ozsudkem SDEU ve věci UPC</w:t>
      </w:r>
      <w:r w:rsidR="001E44B2">
        <w:rPr>
          <w:szCs w:val="24"/>
        </w:rPr>
        <w:t xml:space="preserve"> Telekabel Wien</w:t>
      </w:r>
      <w:r w:rsidR="001E44B2">
        <w:rPr>
          <w:rStyle w:val="Znakapoznpodarou"/>
          <w:szCs w:val="24"/>
        </w:rPr>
        <w:footnoteReference w:id="1"/>
      </w:r>
      <w:r w:rsidRPr="001E44B2">
        <w:rPr>
          <w:szCs w:val="24"/>
        </w:rPr>
        <w:t>, který v čl. 64 uvádí, že: „</w:t>
      </w:r>
      <w:r w:rsidRPr="001E44B2">
        <w:rPr>
          <w:i/>
          <w:iCs/>
          <w:szCs w:val="24"/>
        </w:rPr>
        <w:t>Základní práva…musí být vykládána v tom smyslu, že nebrání tomu, aby bylo poskytovateli internetového připojení prostřednictvím příkazu vydaného soudem zakázáno poskytovat zákazníkům přístup k webovým stránkám, na nichž jsou online zpřístupňovány předměty ochrany bez souhlasu nositelů práv…, avšak za podmínky, že přijatá opatření zbytečně nezbavují uživatele internetu možnosti využít oprávněného přístupu k</w:t>
      </w:r>
      <w:r w:rsidR="008B28D5">
        <w:rPr>
          <w:i/>
          <w:iCs/>
          <w:szCs w:val="24"/>
        </w:rPr>
        <w:t> </w:t>
      </w:r>
      <w:r w:rsidRPr="001E44B2">
        <w:rPr>
          <w:i/>
          <w:iCs/>
          <w:szCs w:val="24"/>
        </w:rPr>
        <w:t>dostupným informacím a vedou k zabránění nebo alespoň ke ztížení neoprávněných prohlížení předmětů ochrany a ke skutečnému odrazování uživatelů internetu, kteří využívají služeb adresáta tohoto soudního příkazu, od prohlížení těchto předmětů, které byly zpřístupněny při porušení práva duševního vlastnictví…</w:t>
      </w:r>
      <w:r w:rsidRPr="001E44B2">
        <w:rPr>
          <w:szCs w:val="24"/>
        </w:rPr>
        <w:t xml:space="preserve">“ </w:t>
      </w:r>
    </w:p>
    <w:p w14:paraId="5E2A085C" w14:textId="77777777" w:rsidR="001E44B2" w:rsidRDefault="001E44B2" w:rsidP="00D0567B">
      <w:pPr>
        <w:spacing w:line="276" w:lineRule="auto"/>
      </w:pPr>
    </w:p>
    <w:p w14:paraId="5BC9625E" w14:textId="5FBAE6A8" w:rsidR="001E44B2" w:rsidRPr="001E44B2" w:rsidRDefault="001E44B2" w:rsidP="00D0567B">
      <w:pPr>
        <w:spacing w:line="276" w:lineRule="auto"/>
        <w:rPr>
          <w:b/>
          <w:bCs/>
        </w:rPr>
      </w:pPr>
      <w:r w:rsidRPr="001E44B2">
        <w:rPr>
          <w:b/>
          <w:bCs/>
        </w:rPr>
        <w:t>Právní úprava v ČR</w:t>
      </w:r>
    </w:p>
    <w:p w14:paraId="4E17BFBF" w14:textId="77777777" w:rsidR="00D861A2" w:rsidRDefault="00D861A2" w:rsidP="00D0567B">
      <w:pPr>
        <w:spacing w:line="276" w:lineRule="auto"/>
      </w:pPr>
    </w:p>
    <w:p w14:paraId="36686231" w14:textId="6AE9CB3C" w:rsidR="001F17A6" w:rsidRDefault="00D4087D" w:rsidP="00D0567B">
      <w:pPr>
        <w:spacing w:line="276" w:lineRule="auto"/>
      </w:pPr>
      <w:r>
        <w:t xml:space="preserve">Právní úprava </w:t>
      </w:r>
      <w:r w:rsidR="008B28D5">
        <w:t xml:space="preserve">v ČR </w:t>
      </w:r>
      <w:r>
        <w:t xml:space="preserve">dle aktuální rozhodovací praxe </w:t>
      </w:r>
      <w:r w:rsidR="008B28D5">
        <w:t xml:space="preserve">soudů </w:t>
      </w:r>
      <w:r>
        <w:t xml:space="preserve">neumožňuje, aby bylo možné na základě soudního rozhodnutí blokovat nezákonný zásah do autorských práv vzniklý </w:t>
      </w:r>
      <w:r w:rsidR="00B34A24">
        <w:t xml:space="preserve">až </w:t>
      </w:r>
      <w:r>
        <w:t>v</w:t>
      </w:r>
      <w:r w:rsidR="0010394B">
        <w:t> </w:t>
      </w:r>
      <w:r>
        <w:t>budoucnu</w:t>
      </w:r>
      <w:r w:rsidR="0010394B">
        <w:t xml:space="preserve"> po vydání rozhodnutí</w:t>
      </w:r>
      <w:r>
        <w:t xml:space="preserve">. Přitom běžná praxe je, že k porušování autorských práv dochází právě až v průběhu aktuálně probíhajícího živého přenosu sportovní či kulturní události. </w:t>
      </w:r>
      <w:r w:rsidR="00D861A2">
        <w:t xml:space="preserve">Za současné úpravy nelze </w:t>
      </w:r>
      <w:r>
        <w:t xml:space="preserve">v reálném čase tento problém efektivně řešit. </w:t>
      </w:r>
    </w:p>
    <w:p w14:paraId="7C27552C" w14:textId="77777777" w:rsidR="00D4087D" w:rsidRDefault="00D4087D" w:rsidP="00D0567B">
      <w:pPr>
        <w:spacing w:line="276" w:lineRule="auto"/>
      </w:pPr>
    </w:p>
    <w:p w14:paraId="221352C2" w14:textId="3B8A85BD" w:rsidR="00545FE9" w:rsidRDefault="00D4087D" w:rsidP="008C7B5F">
      <w:pPr>
        <w:spacing w:line="276" w:lineRule="auto"/>
      </w:pPr>
      <w:r>
        <w:t xml:space="preserve">Navrhuje se tedy explicitně v zákoně </w:t>
      </w:r>
      <w:r w:rsidR="00B34A24">
        <w:t>umožnit</w:t>
      </w:r>
      <w:r>
        <w:t xml:space="preserve">, </w:t>
      </w:r>
      <w:r w:rsidR="00B34A24">
        <w:t>aby</w:t>
      </w:r>
      <w:r>
        <w:t xml:space="preserve"> se </w:t>
      </w:r>
      <w:r w:rsidR="00B34A24">
        <w:t xml:space="preserve">autor mohl </w:t>
      </w:r>
      <w:r w:rsidR="0010394B">
        <w:t xml:space="preserve">u soudu </w:t>
      </w:r>
      <w:r w:rsidR="00B34A24">
        <w:t xml:space="preserve">domáhat zákazu poskytování služby </w:t>
      </w:r>
      <w:r w:rsidR="00445624">
        <w:t xml:space="preserve">i </w:t>
      </w:r>
      <w:r w:rsidR="00B34A24">
        <w:t xml:space="preserve">při neoprávněném zásahu do jeho práva, i pokud by k takovému </w:t>
      </w:r>
      <w:r w:rsidR="00FC50B2">
        <w:t xml:space="preserve">protiprávnímu </w:t>
      </w:r>
      <w:r w:rsidR="00B34A24">
        <w:t xml:space="preserve">zásahu mělo dojít až v budoucnu.  </w:t>
      </w:r>
      <w:r w:rsidR="000804A4">
        <w:t xml:space="preserve">K zákazu zpřístupnění protiprávního obsahu má </w:t>
      </w:r>
      <w:r w:rsidR="00A86F07">
        <w:t>do</w:t>
      </w:r>
      <w:r w:rsidR="000804A4">
        <w:t>cházet</w:t>
      </w:r>
      <w:r w:rsidR="003760E5" w:rsidRPr="000E7CEC">
        <w:t xml:space="preserve"> </w:t>
      </w:r>
      <w:r w:rsidR="00445624">
        <w:t xml:space="preserve">na základě rozhodnutí soudu </w:t>
      </w:r>
      <w:r w:rsidR="00DB7A3E">
        <w:t>na</w:t>
      </w:r>
      <w:r w:rsidR="003760E5" w:rsidRPr="000E7CEC">
        <w:t xml:space="preserve"> předem omezenou dobu</w:t>
      </w:r>
      <w:r w:rsidR="000804A4">
        <w:t xml:space="preserve">, </w:t>
      </w:r>
      <w:r w:rsidR="008C7B5F">
        <w:t xml:space="preserve">po kterou </w:t>
      </w:r>
      <w:r w:rsidR="000804A4">
        <w:t>dochází k porušování nebo ohrožování práva autora</w:t>
      </w:r>
      <w:r w:rsidR="00152484">
        <w:t xml:space="preserve">. Typicky se bude jednat o blokování </w:t>
      </w:r>
      <w:r w:rsidR="00AB490D">
        <w:t xml:space="preserve">živých přenosů, k nimž mají určité subjekty autorská práva, </w:t>
      </w:r>
      <w:r w:rsidR="0010618E">
        <w:t>v konkrétním předem známém čase</w:t>
      </w:r>
      <w:r w:rsidR="00545FE9">
        <w:t xml:space="preserve">, ale na předem neznámých </w:t>
      </w:r>
      <w:r w:rsidR="00152484">
        <w:t>internetových stránk</w:t>
      </w:r>
      <w:r w:rsidR="00545FE9">
        <w:t>ách</w:t>
      </w:r>
      <w:r w:rsidR="00152484">
        <w:t xml:space="preserve">, které mohou vznikat až v průběhu sportovní nebo kulturní události a zpřístupňují její obsah osobám, které </w:t>
      </w:r>
      <w:r w:rsidR="00DB7A3E">
        <w:t>k n</w:t>
      </w:r>
      <w:r w:rsidR="008C7B5F">
        <w:t>im</w:t>
      </w:r>
      <w:r w:rsidR="00DB7A3E">
        <w:t xml:space="preserve"> </w:t>
      </w:r>
      <w:r w:rsidR="00152484">
        <w:t>nem</w:t>
      </w:r>
      <w:r w:rsidR="00545FE9">
        <w:t>ají</w:t>
      </w:r>
      <w:r w:rsidR="00152484">
        <w:t xml:space="preserve"> </w:t>
      </w:r>
      <w:r w:rsidR="00DB7A3E">
        <w:t xml:space="preserve">legální </w:t>
      </w:r>
      <w:r w:rsidR="00152484">
        <w:t xml:space="preserve">přístup. </w:t>
      </w:r>
    </w:p>
    <w:p w14:paraId="2DE78B0D" w14:textId="77777777" w:rsidR="00545FE9" w:rsidRDefault="00545FE9" w:rsidP="008C7B5F">
      <w:pPr>
        <w:spacing w:line="276" w:lineRule="auto"/>
      </w:pPr>
    </w:p>
    <w:p w14:paraId="72CD0AF8" w14:textId="77777777" w:rsidR="00F541CC" w:rsidRDefault="00B67BDA" w:rsidP="008C7B5F">
      <w:pPr>
        <w:spacing w:line="276" w:lineRule="auto"/>
      </w:pPr>
      <w:r>
        <w:t>Soud podle navrhované úpravy ve výroku rozsudku nebo předběžného opatření</w:t>
      </w:r>
      <w:r w:rsidR="008B1E5F">
        <w:t xml:space="preserve"> uloží žalovanému </w:t>
      </w:r>
      <w:r w:rsidR="00DF13AF">
        <w:t xml:space="preserve">poskytovateli internetového připojení </w:t>
      </w:r>
      <w:r w:rsidR="008B1E5F">
        <w:t xml:space="preserve">povinnost </w:t>
      </w:r>
      <w:r w:rsidR="008B1E5F" w:rsidRPr="008B1E5F">
        <w:t>zamez</w:t>
      </w:r>
      <w:r w:rsidR="008B1E5F">
        <w:t>it</w:t>
      </w:r>
      <w:r w:rsidR="008B1E5F" w:rsidRPr="008B1E5F">
        <w:t xml:space="preserve"> </w:t>
      </w:r>
      <w:r w:rsidR="008F7B9C" w:rsidRPr="008B1E5F">
        <w:t>po dobu, po kterou trvá ohrožení nebo porušování práva autora</w:t>
      </w:r>
      <w:r w:rsidR="008F7B9C">
        <w:t>,</w:t>
      </w:r>
      <w:r w:rsidR="008F7B9C" w:rsidRPr="008B1E5F">
        <w:t xml:space="preserve"> </w:t>
      </w:r>
      <w:r w:rsidR="008B1E5F" w:rsidRPr="008B1E5F">
        <w:t>šíření</w:t>
      </w:r>
      <w:r w:rsidR="00DF13AF">
        <w:t> </w:t>
      </w:r>
      <w:r w:rsidR="00650EF6">
        <w:t>konkrétního protiprávního obsahu, který</w:t>
      </w:r>
      <w:r w:rsidR="00921B66">
        <w:t> </w:t>
      </w:r>
      <w:r w:rsidR="00650EF6">
        <w:t>bude definován popisem jeho obsahu tak, aby</w:t>
      </w:r>
      <w:r w:rsidR="00DF13AF">
        <w:t> </w:t>
      </w:r>
      <w:r w:rsidR="00650EF6">
        <w:t>byl určitelný, ale</w:t>
      </w:r>
      <w:r w:rsidR="00505675">
        <w:t> </w:t>
      </w:r>
      <w:r w:rsidR="00650EF6">
        <w:t xml:space="preserve">nikoli </w:t>
      </w:r>
      <w:r w:rsidR="00505675">
        <w:t xml:space="preserve">přesným popisem </w:t>
      </w:r>
      <w:r w:rsidR="008F7B9C">
        <w:t xml:space="preserve">míst </w:t>
      </w:r>
      <w:r w:rsidR="00505675">
        <w:t>jeho výskytu, neboť se může po vydání rozhodnutí objevit kdekoliv</w:t>
      </w:r>
      <w:r w:rsidR="008F7B9C">
        <w:t>.</w:t>
      </w:r>
      <w:r>
        <w:t xml:space="preserve"> </w:t>
      </w:r>
      <w:r w:rsidR="00DF13AF">
        <w:t xml:space="preserve">Poskytovatel internetového připojení pak bude muset po stanovenou dobu </w:t>
      </w:r>
      <w:r w:rsidR="002D3EF9">
        <w:t>blokovat přístup k danému protiprávnímu obsahu kdekoli na internetu.</w:t>
      </w:r>
      <w:r w:rsidR="00CD6EFA">
        <w:t xml:space="preserve"> </w:t>
      </w:r>
    </w:p>
    <w:p w14:paraId="12B386F8" w14:textId="77777777" w:rsidR="00F541CC" w:rsidRDefault="00F541CC" w:rsidP="008C7B5F">
      <w:pPr>
        <w:spacing w:line="276" w:lineRule="auto"/>
      </w:pPr>
    </w:p>
    <w:p w14:paraId="34E15C44" w14:textId="28290E39" w:rsidR="001F17A6" w:rsidRPr="00152484" w:rsidRDefault="00CD6EFA" w:rsidP="008C7B5F">
      <w:pPr>
        <w:spacing w:line="276" w:lineRule="auto"/>
      </w:pPr>
      <w:r>
        <w:t xml:space="preserve">Podle zahraničních zkušeností lze očekávat, že </w:t>
      </w:r>
      <w:r w:rsidR="00F541CC">
        <w:t xml:space="preserve">poskytovatel připojení </w:t>
      </w:r>
      <w:r>
        <w:t xml:space="preserve">bude </w:t>
      </w:r>
      <w:r w:rsidR="00F541CC">
        <w:t xml:space="preserve">blokovat protiprávní obsah </w:t>
      </w:r>
      <w:r>
        <w:t>ve spolupráci s držitelem autorských práv, který jej bude o výskytech protiprávního obsahu informovat</w:t>
      </w:r>
      <w:r w:rsidR="002D3EF9">
        <w:t xml:space="preserve"> </w:t>
      </w:r>
      <w:r>
        <w:t xml:space="preserve">(v praxi se tak děje automatizováním </w:t>
      </w:r>
      <w:r w:rsidR="009164ED">
        <w:t>sdílení notifikací o</w:t>
      </w:r>
      <w:r w:rsidR="00F541CC">
        <w:t> </w:t>
      </w:r>
      <w:r w:rsidR="009164ED">
        <w:t>výskytu protiprávního obsahu on-line v reálném čase).</w:t>
      </w:r>
      <w:r w:rsidR="00152484">
        <w:t xml:space="preserve"> </w:t>
      </w:r>
      <w:r w:rsidR="00BE56A3">
        <w:t xml:space="preserve">Tuto </w:t>
      </w:r>
      <w:r w:rsidR="00F541CC">
        <w:t xml:space="preserve">faktickou </w:t>
      </w:r>
      <w:r w:rsidR="00BE56A3">
        <w:t xml:space="preserve">spolupráci není třeba svazovat právní úpravou, neboť </w:t>
      </w:r>
      <w:r w:rsidR="00B412B6">
        <w:t xml:space="preserve">se děje v rámci soukromoprávních </w:t>
      </w:r>
      <w:r w:rsidR="00F541CC">
        <w:t>vztahů</w:t>
      </w:r>
      <w:r w:rsidR="00B412B6">
        <w:t xml:space="preserve"> a </w:t>
      </w:r>
      <w:r w:rsidR="00BE56A3">
        <w:t xml:space="preserve">obě strany </w:t>
      </w:r>
      <w:r w:rsidR="00B412B6">
        <w:t xml:space="preserve">jsou </w:t>
      </w:r>
      <w:r w:rsidR="00B412B6">
        <w:lastRenderedPageBreak/>
        <w:t>k</w:t>
      </w:r>
      <w:r w:rsidR="00F541CC">
        <w:t> </w:t>
      </w:r>
      <w:r w:rsidR="00B412B6">
        <w:t>ní</w:t>
      </w:r>
      <w:r w:rsidR="00F541CC">
        <w:t> </w:t>
      </w:r>
      <w:r w:rsidR="00B412B6">
        <w:t>motivovány samy od sebe. Držitel autorských práv tím, aby zajistil co nejúčinnější ochranu svých práv</w:t>
      </w:r>
      <w:r w:rsidR="009B63B7">
        <w:t>,</w:t>
      </w:r>
      <w:r w:rsidR="00B412B6">
        <w:t xml:space="preserve"> a poskytovatel internetového připojení tím, aby naplnil vykonatelné rozhodnutí soudu a neriskoval</w:t>
      </w:r>
      <w:r w:rsidR="00F541CC">
        <w:t xml:space="preserve"> návrh na nedobrovolný výkon rozhodnutí na návrh držitele práv.</w:t>
      </w:r>
    </w:p>
    <w:p w14:paraId="1713CD69" w14:textId="2B0FDEEC" w:rsidR="00F71CBA" w:rsidRDefault="00F71CBA" w:rsidP="00D0567B">
      <w:pPr>
        <w:spacing w:after="160" w:line="276" w:lineRule="auto"/>
        <w:jc w:val="left"/>
        <w:rPr>
          <w:b/>
          <w:szCs w:val="24"/>
          <w:u w:val="single"/>
        </w:rPr>
      </w:pPr>
    </w:p>
    <w:p w14:paraId="5444371D" w14:textId="70AC24FC" w:rsidR="00D4087D" w:rsidRPr="00B34A24" w:rsidRDefault="00D4087D" w:rsidP="00D0567B">
      <w:pPr>
        <w:spacing w:line="276" w:lineRule="auto"/>
        <w:rPr>
          <w:b/>
          <w:szCs w:val="24"/>
        </w:rPr>
      </w:pPr>
      <w:r w:rsidRPr="00B34A24">
        <w:rPr>
          <w:b/>
          <w:szCs w:val="24"/>
          <w:u w:val="single"/>
        </w:rPr>
        <w:t>Platné znění s vyznačením změn</w:t>
      </w:r>
      <w:r w:rsidR="00B34A24">
        <w:rPr>
          <w:b/>
          <w:szCs w:val="24"/>
        </w:rPr>
        <w:t>:</w:t>
      </w:r>
      <w:r w:rsidRPr="00B34A24">
        <w:rPr>
          <w:b/>
          <w:szCs w:val="24"/>
        </w:rPr>
        <w:t xml:space="preserve"> </w:t>
      </w:r>
    </w:p>
    <w:p w14:paraId="73EE12BB" w14:textId="77777777" w:rsidR="00D4087D" w:rsidRDefault="00D4087D" w:rsidP="00D0567B">
      <w:pPr>
        <w:spacing w:line="276" w:lineRule="auto"/>
        <w:rPr>
          <w:b/>
          <w:szCs w:val="24"/>
        </w:rPr>
      </w:pPr>
    </w:p>
    <w:p w14:paraId="7B69A149" w14:textId="32F6AB73" w:rsidR="00D4087D" w:rsidRDefault="00D4087D" w:rsidP="00D0567B">
      <w:pPr>
        <w:spacing w:line="276" w:lineRule="auto"/>
        <w:rPr>
          <w:b/>
          <w:szCs w:val="24"/>
        </w:rPr>
      </w:pPr>
      <w:r>
        <w:rPr>
          <w:b/>
          <w:szCs w:val="24"/>
        </w:rPr>
        <w:t>Změna autorského zákona</w:t>
      </w:r>
    </w:p>
    <w:p w14:paraId="2FE17A1E" w14:textId="77777777" w:rsidR="00D4087D" w:rsidRDefault="00D4087D" w:rsidP="00D0567B">
      <w:pPr>
        <w:spacing w:line="276" w:lineRule="auto"/>
      </w:pPr>
    </w:p>
    <w:p w14:paraId="777451C9" w14:textId="77777777" w:rsidR="00D4087D" w:rsidRPr="00044330" w:rsidRDefault="00D4087D" w:rsidP="00D0567B">
      <w:pPr>
        <w:spacing w:line="276" w:lineRule="auto"/>
        <w:jc w:val="center"/>
        <w:rPr>
          <w:b/>
          <w:bCs/>
        </w:rPr>
      </w:pPr>
      <w:r w:rsidRPr="00044330">
        <w:rPr>
          <w:b/>
          <w:bCs/>
        </w:rPr>
        <w:t>Díl 5</w:t>
      </w:r>
    </w:p>
    <w:p w14:paraId="447270A6" w14:textId="77777777" w:rsidR="00D4087D" w:rsidRPr="00044330" w:rsidRDefault="00D4087D" w:rsidP="00D0567B">
      <w:pPr>
        <w:spacing w:line="276" w:lineRule="auto"/>
        <w:jc w:val="center"/>
        <w:rPr>
          <w:b/>
          <w:bCs/>
        </w:rPr>
      </w:pPr>
      <w:r w:rsidRPr="00044330">
        <w:rPr>
          <w:b/>
          <w:bCs/>
        </w:rPr>
        <w:t>Ochrana práva autorského</w:t>
      </w:r>
    </w:p>
    <w:p w14:paraId="72D57EB1" w14:textId="77777777" w:rsidR="00D861A2" w:rsidRDefault="00D861A2" w:rsidP="00D0567B">
      <w:pPr>
        <w:spacing w:line="276" w:lineRule="auto"/>
        <w:jc w:val="center"/>
        <w:rPr>
          <w:b/>
          <w:bCs/>
        </w:rPr>
      </w:pPr>
    </w:p>
    <w:p w14:paraId="7558680B" w14:textId="777F89C7" w:rsidR="00D4087D" w:rsidRPr="00044330" w:rsidRDefault="00D4087D" w:rsidP="00D0567B">
      <w:pPr>
        <w:spacing w:line="276" w:lineRule="auto"/>
        <w:jc w:val="center"/>
        <w:rPr>
          <w:b/>
          <w:bCs/>
        </w:rPr>
      </w:pPr>
      <w:r w:rsidRPr="00044330">
        <w:rPr>
          <w:b/>
          <w:bCs/>
        </w:rPr>
        <w:t>§ 40</w:t>
      </w:r>
    </w:p>
    <w:p w14:paraId="43177F68" w14:textId="77777777" w:rsidR="00D861A2" w:rsidRDefault="00D861A2" w:rsidP="00D0567B">
      <w:pPr>
        <w:spacing w:line="276" w:lineRule="auto"/>
        <w:ind w:firstLine="708"/>
        <w:rPr>
          <w:b/>
          <w:bCs/>
        </w:rPr>
      </w:pPr>
    </w:p>
    <w:p w14:paraId="5B9C62BC" w14:textId="4E16285E" w:rsidR="00D4087D" w:rsidRPr="00044330" w:rsidRDefault="00D4087D" w:rsidP="00EA733D">
      <w:pPr>
        <w:spacing w:line="276" w:lineRule="auto"/>
      </w:pPr>
      <w:bookmarkStart w:id="0" w:name="_GoBack"/>
      <w:bookmarkEnd w:id="0"/>
      <w:r w:rsidRPr="00044330">
        <w:rPr>
          <w:b/>
          <w:bCs/>
        </w:rPr>
        <w:t>(1)</w:t>
      </w:r>
      <w:r w:rsidRPr="00044330">
        <w:t> Autor, do jehož práva bylo neoprávněně zasaženo nebo jehož právu hrozí neoprávněný zásah, může se domáhat zejména</w:t>
      </w:r>
    </w:p>
    <w:p w14:paraId="1984A023" w14:textId="77777777" w:rsidR="00D4087D" w:rsidRPr="00044330" w:rsidRDefault="00D4087D" w:rsidP="00D0567B">
      <w:pPr>
        <w:spacing w:line="276" w:lineRule="auto"/>
      </w:pPr>
      <w:r w:rsidRPr="00044330">
        <w:rPr>
          <w:b/>
          <w:bCs/>
        </w:rPr>
        <w:t>a)</w:t>
      </w:r>
      <w:r w:rsidRPr="00044330">
        <w:t> určení svého autorství,</w:t>
      </w:r>
    </w:p>
    <w:p w14:paraId="10003064" w14:textId="77777777" w:rsidR="00D4087D" w:rsidRPr="00044330" w:rsidRDefault="00D4087D" w:rsidP="00D0567B">
      <w:pPr>
        <w:spacing w:line="276" w:lineRule="auto"/>
      </w:pPr>
      <w:bookmarkStart w:id="1" w:name="_Hlk182651530"/>
      <w:r w:rsidRPr="00044330">
        <w:rPr>
          <w:b/>
          <w:bCs/>
        </w:rPr>
        <w:t>b)</w:t>
      </w:r>
      <w:r w:rsidRPr="00044330">
        <w:t xml:space="preserve"> zákazu ohrožení svého práva, včetně hrozícího opakování, </w:t>
      </w:r>
      <w:bookmarkEnd w:id="1"/>
      <w:r w:rsidRPr="00044330">
        <w:t>nebo neoprávněného zásahu do svého práva, zejména zákazu neoprávněné výroby, neoprávněného obchodního odbytu, neoprávněného dovozu nebo vývozu originálu nebo rozmnoženiny či napodobeniny díla, neoprávněného sdělování díla veřejnosti, jakož i neoprávněné propagace, včetně inzerce a jiné reklamy,</w:t>
      </w:r>
    </w:p>
    <w:p w14:paraId="724D1F5A" w14:textId="77777777" w:rsidR="00D4087D" w:rsidRPr="00044330" w:rsidRDefault="00D4087D" w:rsidP="00D0567B">
      <w:pPr>
        <w:spacing w:line="276" w:lineRule="auto"/>
      </w:pPr>
      <w:r w:rsidRPr="00044330">
        <w:rPr>
          <w:b/>
          <w:bCs/>
        </w:rPr>
        <w:t>c)</w:t>
      </w:r>
      <w:r w:rsidRPr="00044330">
        <w:t> sdělení údajů o způsobu a rozsahu neoprávněného užití, o původu neoprávněně zhotovené rozmnoženiny či napodobeniny díla, o způsobu a rozsahu jejího neoprávněného užití, o její ceně, o ceně služby, která s neoprávněným užitím díla souvisí, a o osobách, které se neoprávněného užití díla účastní, včetně osob, kterým byly předmětné rozmnoženiny či napodobeniny díla určeny za účelem jejich poskytnutí třetí osobě, a rovněž informací o skutečnostech rozhodných pro výši odměny podle § 24 a 25; práva na informace podle tohoto ustanovení se autor může domáhat vůči osobě, která do jeho práva neoprávněně zasáhla nebo je neoprávněně ohrozila, a dále zejména vůči osobě, která</w:t>
      </w:r>
    </w:p>
    <w:p w14:paraId="13B8B449" w14:textId="77777777" w:rsidR="00D4087D" w:rsidRPr="00044330" w:rsidRDefault="00D4087D" w:rsidP="00D0567B">
      <w:pPr>
        <w:spacing w:line="276" w:lineRule="auto"/>
      </w:pPr>
      <w:r w:rsidRPr="00044330">
        <w:rPr>
          <w:b/>
          <w:bCs/>
        </w:rPr>
        <w:t>1.</w:t>
      </w:r>
      <w:r w:rsidRPr="00044330">
        <w:t> má nebo měla v držení neoprávněně zhotovenou rozmnoženinu či napodobeninu díla za účelem přímého nebo nepřímého hospodářského nebo obchodního prospěchu,</w:t>
      </w:r>
    </w:p>
    <w:p w14:paraId="2FE92046" w14:textId="77777777" w:rsidR="00D4087D" w:rsidRPr="00044330" w:rsidRDefault="00D4087D" w:rsidP="00D0567B">
      <w:pPr>
        <w:spacing w:line="276" w:lineRule="auto"/>
      </w:pPr>
      <w:r w:rsidRPr="00044330">
        <w:rPr>
          <w:b/>
          <w:bCs/>
        </w:rPr>
        <w:t>2.</w:t>
      </w:r>
      <w:r w:rsidRPr="00044330">
        <w:t> využívá nebo využívala za účelem přímého nebo nepřímého hospodářského nebo obchodního prospěchu službu, která neoprávněně zasahuje nebo zasahovala do práva autora nebo je neoprávněně ohrožuje nebo ohrožovala,</w:t>
      </w:r>
    </w:p>
    <w:p w14:paraId="1D87E969" w14:textId="77777777" w:rsidR="00D4087D" w:rsidRPr="00044330" w:rsidRDefault="00D4087D" w:rsidP="00D0567B">
      <w:pPr>
        <w:spacing w:line="276" w:lineRule="auto"/>
      </w:pPr>
      <w:r w:rsidRPr="00044330">
        <w:rPr>
          <w:b/>
          <w:bCs/>
        </w:rPr>
        <w:t>3.</w:t>
      </w:r>
      <w:r w:rsidRPr="00044330">
        <w:t> poskytuje nebo poskytovala za účelem přímého nebo nepřímého hospodářského nebo obchodního prospěchu službu užívanou při činnostech, které neoprávněně zasahují do práva autora nebo je neoprávněně ohrožují,</w:t>
      </w:r>
    </w:p>
    <w:p w14:paraId="02121BAB" w14:textId="77777777" w:rsidR="00D4087D" w:rsidRPr="00044330" w:rsidRDefault="00D4087D" w:rsidP="00D0567B">
      <w:pPr>
        <w:spacing w:line="276" w:lineRule="auto"/>
      </w:pPr>
      <w:r w:rsidRPr="00044330">
        <w:rPr>
          <w:b/>
          <w:bCs/>
        </w:rPr>
        <w:t>4.</w:t>
      </w:r>
      <w:r w:rsidRPr="00044330">
        <w:t> byla označena osobou uvedenou v bodě 1, 2 nebo 3 jako osoba, která se účastní pořízení, výroby nebo distribuce rozmnoženiny či napodobeniny díla anebo poskytování služeb, které neoprávněně zasahují do práva autora nebo je neoprávněně ohrožují, nebo</w:t>
      </w:r>
    </w:p>
    <w:p w14:paraId="0BBC1D48" w14:textId="77777777" w:rsidR="00D4087D" w:rsidRPr="00044330" w:rsidRDefault="00D4087D" w:rsidP="00D0567B">
      <w:pPr>
        <w:spacing w:line="276" w:lineRule="auto"/>
      </w:pPr>
      <w:r w:rsidRPr="00044330">
        <w:rPr>
          <w:b/>
          <w:bCs/>
        </w:rPr>
        <w:t>5.</w:t>
      </w:r>
      <w:r w:rsidRPr="00044330">
        <w:t> je osobou povinnou podle § 24 odst. 6 nebo § 25 odst. 2,</w:t>
      </w:r>
    </w:p>
    <w:p w14:paraId="4ABC0270" w14:textId="77777777" w:rsidR="00D4087D" w:rsidRPr="00044330" w:rsidRDefault="00D4087D" w:rsidP="00D0567B">
      <w:pPr>
        <w:spacing w:line="276" w:lineRule="auto"/>
      </w:pPr>
      <w:r w:rsidRPr="00044330">
        <w:rPr>
          <w:b/>
          <w:bCs/>
        </w:rPr>
        <w:t>d)</w:t>
      </w:r>
      <w:r w:rsidRPr="00044330">
        <w:t> odstranění následků zásahu do práva, zejména</w:t>
      </w:r>
    </w:p>
    <w:p w14:paraId="29B664C3" w14:textId="77777777" w:rsidR="00D4087D" w:rsidRPr="00044330" w:rsidRDefault="00D4087D" w:rsidP="00D0567B">
      <w:pPr>
        <w:spacing w:line="276" w:lineRule="auto"/>
      </w:pPr>
      <w:r w:rsidRPr="00044330">
        <w:rPr>
          <w:b/>
          <w:bCs/>
        </w:rPr>
        <w:lastRenderedPageBreak/>
        <w:t>1.</w:t>
      </w:r>
      <w:r w:rsidRPr="00044330">
        <w:t> stažením neoprávněně zhotovené rozmnoženiny či napodobeniny díla nebo zařízení, výrobku nebo součástky podle § 43 odst. 2 z obchodování nebo jiného užití,</w:t>
      </w:r>
    </w:p>
    <w:p w14:paraId="55444E7A" w14:textId="77777777" w:rsidR="00D4087D" w:rsidRPr="00044330" w:rsidRDefault="00D4087D" w:rsidP="00D0567B">
      <w:pPr>
        <w:spacing w:line="276" w:lineRule="auto"/>
      </w:pPr>
      <w:r w:rsidRPr="00044330">
        <w:rPr>
          <w:b/>
          <w:bCs/>
        </w:rPr>
        <w:t>2.</w:t>
      </w:r>
      <w:r w:rsidRPr="00044330">
        <w:t> stažením z obchodování a zničením neoprávněně zhotovené rozmnoženiny či napodobeniny díla nebo zařízení, výrobku nebo součástky podle § 43 odst. 2,</w:t>
      </w:r>
    </w:p>
    <w:p w14:paraId="38837CA8" w14:textId="77777777" w:rsidR="00D4087D" w:rsidRPr="00044330" w:rsidRDefault="00D4087D" w:rsidP="00D0567B">
      <w:pPr>
        <w:spacing w:line="276" w:lineRule="auto"/>
      </w:pPr>
      <w:r w:rsidRPr="00044330">
        <w:rPr>
          <w:b/>
          <w:bCs/>
        </w:rPr>
        <w:t>3.</w:t>
      </w:r>
      <w:r w:rsidRPr="00044330">
        <w:t> zničením neoprávněně zhotovené rozmnoženiny či napodobeniny díla nebo zařízení, výrobku nebo součástky podle § 43 odst. 2,</w:t>
      </w:r>
    </w:p>
    <w:p w14:paraId="275206CF" w14:textId="77777777" w:rsidR="00D4087D" w:rsidRPr="00044330" w:rsidRDefault="00D4087D" w:rsidP="00D0567B">
      <w:pPr>
        <w:spacing w:line="276" w:lineRule="auto"/>
      </w:pPr>
      <w:r w:rsidRPr="00044330">
        <w:rPr>
          <w:b/>
          <w:bCs/>
        </w:rPr>
        <w:t>4.</w:t>
      </w:r>
      <w:r w:rsidRPr="00044330">
        <w:t> zničením nebo odstraněním materiálů a nástrojů použitých výlučně nebo převážně k výrobě neoprávněně zhotovené rozmnoženiny či napodobeniny díla nebo zařízení, výrobku nebo součástky podle § 43 odst. 2,</w:t>
      </w:r>
    </w:p>
    <w:p w14:paraId="10DBFB82" w14:textId="77777777" w:rsidR="00D4087D" w:rsidRPr="00044330" w:rsidRDefault="00D4087D" w:rsidP="00D0567B">
      <w:pPr>
        <w:spacing w:line="276" w:lineRule="auto"/>
      </w:pPr>
      <w:r w:rsidRPr="00044330">
        <w:rPr>
          <w:b/>
          <w:bCs/>
        </w:rPr>
        <w:t>e)</w:t>
      </w:r>
      <w:r w:rsidRPr="00044330">
        <w:t> poskytnutí přiměřeného zadostiučinění za způsobenou nemajetkovou újmu, zejména</w:t>
      </w:r>
    </w:p>
    <w:p w14:paraId="624C6891" w14:textId="77777777" w:rsidR="00D4087D" w:rsidRPr="00044330" w:rsidRDefault="00D4087D" w:rsidP="00D0567B">
      <w:pPr>
        <w:spacing w:line="276" w:lineRule="auto"/>
      </w:pPr>
      <w:r w:rsidRPr="00044330">
        <w:rPr>
          <w:b/>
          <w:bCs/>
        </w:rPr>
        <w:t>1.</w:t>
      </w:r>
      <w:r w:rsidRPr="00044330">
        <w:t> omluvou,</w:t>
      </w:r>
    </w:p>
    <w:p w14:paraId="28546150" w14:textId="77777777" w:rsidR="00D4087D" w:rsidRPr="007D60A6" w:rsidRDefault="00D4087D" w:rsidP="00D0567B">
      <w:pPr>
        <w:spacing w:line="276" w:lineRule="auto"/>
      </w:pPr>
      <w:r w:rsidRPr="00044330">
        <w:rPr>
          <w:b/>
          <w:bCs/>
        </w:rPr>
        <w:t>2.</w:t>
      </w:r>
      <w:r w:rsidRPr="00044330">
        <w:t xml:space="preserve"> zadostiučiněním v penězích, pokud by se přiznání jiného zadostiučinění nejevilo postačujícím; </w:t>
      </w:r>
      <w:r w:rsidRPr="007D60A6">
        <w:t>výši peněžitého zadostiučinění určí soud, který přihlédne zejména k závažnosti vzniklé újmy a k okolnostem, za nichž k zásahu do práva došlo; tím není vyloučena dohoda o narovnání,</w:t>
      </w:r>
    </w:p>
    <w:p w14:paraId="4825FD59" w14:textId="1AE7C91F" w:rsidR="00D4087D" w:rsidRPr="007D60A6" w:rsidRDefault="00D4087D" w:rsidP="00D0567B">
      <w:pPr>
        <w:spacing w:line="276" w:lineRule="auto"/>
        <w:rPr>
          <w:b/>
          <w:bCs/>
        </w:rPr>
      </w:pPr>
      <w:r w:rsidRPr="007D60A6">
        <w:rPr>
          <w:b/>
          <w:bCs/>
        </w:rPr>
        <w:t>f)</w:t>
      </w:r>
      <w:r w:rsidRPr="007D60A6">
        <w:t xml:space="preserve"> zákazu poskytování služby, kterou využívají třetí osoby k </w:t>
      </w:r>
      <w:bookmarkStart w:id="2" w:name="_Hlk182651928"/>
      <w:r w:rsidRPr="007D60A6">
        <w:t xml:space="preserve">porušování nebo ohrožování práva </w:t>
      </w:r>
      <w:bookmarkEnd w:id="2"/>
      <w:r w:rsidRPr="007D60A6">
        <w:t>autora</w:t>
      </w:r>
      <w:r w:rsidRPr="00D4087D">
        <w:rPr>
          <w:b/>
          <w:bCs/>
        </w:rPr>
        <w:t xml:space="preserve">, </w:t>
      </w:r>
      <w:bookmarkStart w:id="3" w:name="_Hlk183376144"/>
      <w:r w:rsidR="000804A4" w:rsidRPr="000804A4">
        <w:rPr>
          <w:b/>
          <w:bCs/>
        </w:rPr>
        <w:t xml:space="preserve">včetně takového zákazu, který zamezí i </w:t>
      </w:r>
      <w:r w:rsidR="00EE4A5E">
        <w:rPr>
          <w:b/>
          <w:bCs/>
        </w:rPr>
        <w:t xml:space="preserve">šíření </w:t>
      </w:r>
      <w:r w:rsidR="000804A4" w:rsidRPr="000804A4">
        <w:rPr>
          <w:b/>
          <w:bCs/>
        </w:rPr>
        <w:t>v době vyhlášení rozhodnutí neurčitelného množství shodného protiprávního obsahu po dobu, po kterou trvá ohrožení nebo porušování práva autora</w:t>
      </w:r>
      <w:r w:rsidR="005E3D12">
        <w:rPr>
          <w:b/>
          <w:bCs/>
        </w:rPr>
        <w:t xml:space="preserve">, a </w:t>
      </w:r>
      <w:bookmarkEnd w:id="3"/>
      <w:r w:rsidR="005E3D12">
        <w:rPr>
          <w:b/>
          <w:bCs/>
        </w:rPr>
        <w:t>to</w:t>
      </w:r>
      <w:r w:rsidR="005E3D12" w:rsidRPr="005E3D12">
        <w:rPr>
          <w:b/>
          <w:bCs/>
        </w:rPr>
        <w:t xml:space="preserve"> </w:t>
      </w:r>
      <w:r w:rsidR="005E3D12" w:rsidRPr="000804A4">
        <w:rPr>
          <w:b/>
          <w:bCs/>
        </w:rPr>
        <w:t>i rozhodnutím, kterým se zatímně upravují poměry účastníků</w:t>
      </w:r>
      <w:r w:rsidRPr="000804A4">
        <w:t>.</w:t>
      </w:r>
    </w:p>
    <w:sectPr w:rsidR="00D4087D" w:rsidRPr="007D6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EF7BD" w14:textId="77777777" w:rsidR="004A525F" w:rsidRDefault="004A525F" w:rsidP="007F2F86">
      <w:r>
        <w:separator/>
      </w:r>
    </w:p>
  </w:endnote>
  <w:endnote w:type="continuationSeparator" w:id="0">
    <w:p w14:paraId="480F686A" w14:textId="77777777" w:rsidR="004A525F" w:rsidRDefault="004A525F" w:rsidP="007F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50BEA" w14:textId="77777777" w:rsidR="004A525F" w:rsidRDefault="004A525F" w:rsidP="007F2F86">
      <w:r>
        <w:separator/>
      </w:r>
    </w:p>
  </w:footnote>
  <w:footnote w:type="continuationSeparator" w:id="0">
    <w:p w14:paraId="17E77B0C" w14:textId="77777777" w:rsidR="004A525F" w:rsidRDefault="004A525F" w:rsidP="007F2F86">
      <w:r>
        <w:continuationSeparator/>
      </w:r>
    </w:p>
  </w:footnote>
  <w:footnote w:id="1">
    <w:p w14:paraId="6C81D016" w14:textId="77777777" w:rsidR="001E44B2" w:rsidRPr="001E44B2" w:rsidRDefault="001E44B2" w:rsidP="001E44B2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1E44B2">
        <w:rPr>
          <w:sz w:val="18"/>
          <w:szCs w:val="18"/>
        </w:rPr>
        <w:t>Rozsudek SDEU ve věci C-314/12, UPC Telekabel Wien GmbH proti Constantin Film Verleih GmbH, Wega Filmproduktionsgesellschaft mbH, ze dne 27. 3. 2014.</w:t>
      </w:r>
    </w:p>
    <w:p w14:paraId="03A5A9DB" w14:textId="4B18C737" w:rsidR="001E44B2" w:rsidRDefault="001E44B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435C9"/>
    <w:multiLevelType w:val="multilevel"/>
    <w:tmpl w:val="5E84695A"/>
    <w:lvl w:ilvl="0">
      <w:start w:val="15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i w:val="0"/>
        <w:sz w:val="23"/>
        <w:szCs w:val="23"/>
        <w:u w:val="none"/>
      </w:rPr>
    </w:lvl>
    <w:lvl w:ilvl="1">
      <w:start w:val="1"/>
      <w:numFmt w:val="lowerLetter"/>
      <w:lvlText w:val="(%2)"/>
      <w:lvlJc w:val="left"/>
      <w:pPr>
        <w:ind w:left="786" w:hanging="360"/>
      </w:pPr>
      <w:rPr>
        <w:rFonts w:hint="default"/>
        <w:i w:val="0"/>
        <w:u w:val="none"/>
      </w:rPr>
    </w:lvl>
    <w:lvl w:ilvl="2">
      <w:start w:val="1"/>
      <w:numFmt w:val="lowerRoman"/>
      <w:lvlText w:val="(%3)"/>
      <w:lvlJc w:val="left"/>
      <w:pPr>
        <w:ind w:left="198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222B1303"/>
    <w:multiLevelType w:val="hybridMultilevel"/>
    <w:tmpl w:val="10CC9FC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18029B1"/>
    <w:multiLevelType w:val="multilevel"/>
    <w:tmpl w:val="29B6978C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b w:val="0"/>
        <w:i w:val="0"/>
        <w:sz w:val="23"/>
        <w:szCs w:val="23"/>
        <w:u w:val="none"/>
      </w:rPr>
    </w:lvl>
    <w:lvl w:ilvl="1">
      <w:start w:val="1"/>
      <w:numFmt w:val="lowerLetter"/>
      <w:lvlText w:val="(%2)"/>
      <w:lvlJc w:val="left"/>
      <w:pPr>
        <w:ind w:left="786" w:hanging="360"/>
      </w:pPr>
      <w:rPr>
        <w:i w:val="0"/>
        <w:u w:val="none"/>
      </w:rPr>
    </w:lvl>
    <w:lvl w:ilvl="2">
      <w:start w:val="1"/>
      <w:numFmt w:val="lowerRoman"/>
      <w:lvlText w:val="(%3)"/>
      <w:lvlJc w:val="left"/>
      <w:pPr>
        <w:ind w:left="1980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A22ABC"/>
    <w:multiLevelType w:val="multilevel"/>
    <w:tmpl w:val="25F45012"/>
    <w:lvl w:ilvl="0">
      <w:start w:val="3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i w:val="0"/>
        <w:sz w:val="23"/>
        <w:szCs w:val="23"/>
        <w:u w:val="none"/>
      </w:rPr>
    </w:lvl>
    <w:lvl w:ilvl="1">
      <w:start w:val="1"/>
      <w:numFmt w:val="lowerLetter"/>
      <w:lvlText w:val="(%2)"/>
      <w:lvlJc w:val="left"/>
      <w:pPr>
        <w:ind w:left="786" w:hanging="360"/>
      </w:pPr>
      <w:rPr>
        <w:rFonts w:hint="default"/>
        <w:i w:val="0"/>
        <w:u w:val="none"/>
      </w:rPr>
    </w:lvl>
    <w:lvl w:ilvl="2">
      <w:start w:val="1"/>
      <w:numFmt w:val="lowerRoman"/>
      <w:lvlText w:val="(%3)"/>
      <w:lvlJc w:val="left"/>
      <w:pPr>
        <w:ind w:left="198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C7924D0"/>
    <w:multiLevelType w:val="multilevel"/>
    <w:tmpl w:val="678CC556"/>
    <w:lvl w:ilvl="0">
      <w:start w:val="55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i w:val="0"/>
        <w:sz w:val="23"/>
        <w:szCs w:val="23"/>
        <w:u w:val="none"/>
      </w:rPr>
    </w:lvl>
    <w:lvl w:ilvl="1">
      <w:start w:val="1"/>
      <w:numFmt w:val="lowerLetter"/>
      <w:lvlText w:val="(%2)"/>
      <w:lvlJc w:val="left"/>
      <w:pPr>
        <w:ind w:left="1353" w:hanging="360"/>
      </w:pPr>
      <w:rPr>
        <w:rFonts w:hint="default"/>
        <w:i w:val="0"/>
        <w:u w:val="none"/>
      </w:rPr>
    </w:lvl>
    <w:lvl w:ilvl="2">
      <w:start w:val="20"/>
      <w:numFmt w:val="lowerRoman"/>
      <w:lvlText w:val="(%3)"/>
      <w:lvlJc w:val="left"/>
      <w:pPr>
        <w:ind w:left="2547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51"/>
    <w:rsid w:val="00010936"/>
    <w:rsid w:val="00022F32"/>
    <w:rsid w:val="00023A41"/>
    <w:rsid w:val="00054C9D"/>
    <w:rsid w:val="00063351"/>
    <w:rsid w:val="00064E57"/>
    <w:rsid w:val="00065D34"/>
    <w:rsid w:val="0007068E"/>
    <w:rsid w:val="000748F0"/>
    <w:rsid w:val="000804A4"/>
    <w:rsid w:val="000862E5"/>
    <w:rsid w:val="000B14DC"/>
    <w:rsid w:val="000B7335"/>
    <w:rsid w:val="000C1657"/>
    <w:rsid w:val="000C3656"/>
    <w:rsid w:val="000E7CEC"/>
    <w:rsid w:val="000F6BB4"/>
    <w:rsid w:val="0010115C"/>
    <w:rsid w:val="0010394B"/>
    <w:rsid w:val="0010618E"/>
    <w:rsid w:val="001061A8"/>
    <w:rsid w:val="0014579D"/>
    <w:rsid w:val="00152484"/>
    <w:rsid w:val="001634A1"/>
    <w:rsid w:val="00166184"/>
    <w:rsid w:val="001739FE"/>
    <w:rsid w:val="001C3B3D"/>
    <w:rsid w:val="001D138B"/>
    <w:rsid w:val="001D7766"/>
    <w:rsid w:val="001E31C3"/>
    <w:rsid w:val="001E44B2"/>
    <w:rsid w:val="001F17A6"/>
    <w:rsid w:val="00206E10"/>
    <w:rsid w:val="00257E80"/>
    <w:rsid w:val="00261865"/>
    <w:rsid w:val="00277CD3"/>
    <w:rsid w:val="002B1D84"/>
    <w:rsid w:val="002D3EF9"/>
    <w:rsid w:val="0030226E"/>
    <w:rsid w:val="00307760"/>
    <w:rsid w:val="0031112F"/>
    <w:rsid w:val="00313267"/>
    <w:rsid w:val="0033299C"/>
    <w:rsid w:val="00341EC5"/>
    <w:rsid w:val="003450C3"/>
    <w:rsid w:val="00360229"/>
    <w:rsid w:val="003760E5"/>
    <w:rsid w:val="00377920"/>
    <w:rsid w:val="00385F9B"/>
    <w:rsid w:val="003B433A"/>
    <w:rsid w:val="003C5085"/>
    <w:rsid w:val="00412DC4"/>
    <w:rsid w:val="00422D2C"/>
    <w:rsid w:val="00423223"/>
    <w:rsid w:val="00445624"/>
    <w:rsid w:val="004A525F"/>
    <w:rsid w:val="004C7026"/>
    <w:rsid w:val="004F762B"/>
    <w:rsid w:val="00505675"/>
    <w:rsid w:val="005117C4"/>
    <w:rsid w:val="0051280A"/>
    <w:rsid w:val="00520E9D"/>
    <w:rsid w:val="00526240"/>
    <w:rsid w:val="00536B12"/>
    <w:rsid w:val="00545FE9"/>
    <w:rsid w:val="0056291F"/>
    <w:rsid w:val="00592D07"/>
    <w:rsid w:val="005A2D14"/>
    <w:rsid w:val="005D2B8F"/>
    <w:rsid w:val="005D70AA"/>
    <w:rsid w:val="005E30ED"/>
    <w:rsid w:val="005E3D12"/>
    <w:rsid w:val="005F5F81"/>
    <w:rsid w:val="006226AA"/>
    <w:rsid w:val="00650051"/>
    <w:rsid w:val="00650EF6"/>
    <w:rsid w:val="00654916"/>
    <w:rsid w:val="006730BB"/>
    <w:rsid w:val="006B1DD8"/>
    <w:rsid w:val="006B1F6A"/>
    <w:rsid w:val="006D3295"/>
    <w:rsid w:val="007207E2"/>
    <w:rsid w:val="00736BC1"/>
    <w:rsid w:val="00740434"/>
    <w:rsid w:val="00746F22"/>
    <w:rsid w:val="00756652"/>
    <w:rsid w:val="00772AFA"/>
    <w:rsid w:val="007B457C"/>
    <w:rsid w:val="007E0094"/>
    <w:rsid w:val="007F2F86"/>
    <w:rsid w:val="00801E2F"/>
    <w:rsid w:val="00822006"/>
    <w:rsid w:val="00824EFB"/>
    <w:rsid w:val="00827A05"/>
    <w:rsid w:val="00842305"/>
    <w:rsid w:val="008B1E5F"/>
    <w:rsid w:val="008B28D5"/>
    <w:rsid w:val="008B56E0"/>
    <w:rsid w:val="008C7B5F"/>
    <w:rsid w:val="008F7B9C"/>
    <w:rsid w:val="009164ED"/>
    <w:rsid w:val="00921B66"/>
    <w:rsid w:val="0092316A"/>
    <w:rsid w:val="009271BE"/>
    <w:rsid w:val="00947A54"/>
    <w:rsid w:val="00954D8D"/>
    <w:rsid w:val="00954FFE"/>
    <w:rsid w:val="00962A45"/>
    <w:rsid w:val="009B63B7"/>
    <w:rsid w:val="009B7712"/>
    <w:rsid w:val="009F3264"/>
    <w:rsid w:val="00A15F21"/>
    <w:rsid w:val="00A24793"/>
    <w:rsid w:val="00A26012"/>
    <w:rsid w:val="00A5153C"/>
    <w:rsid w:val="00A60044"/>
    <w:rsid w:val="00A81F8C"/>
    <w:rsid w:val="00A86F07"/>
    <w:rsid w:val="00A87117"/>
    <w:rsid w:val="00AB490D"/>
    <w:rsid w:val="00AC33CF"/>
    <w:rsid w:val="00AE0B3C"/>
    <w:rsid w:val="00AE349E"/>
    <w:rsid w:val="00AF7B50"/>
    <w:rsid w:val="00B04D38"/>
    <w:rsid w:val="00B17B06"/>
    <w:rsid w:val="00B26AE8"/>
    <w:rsid w:val="00B335A1"/>
    <w:rsid w:val="00B34A24"/>
    <w:rsid w:val="00B35167"/>
    <w:rsid w:val="00B35E2E"/>
    <w:rsid w:val="00B412B6"/>
    <w:rsid w:val="00B611DD"/>
    <w:rsid w:val="00B67BDA"/>
    <w:rsid w:val="00B75E1D"/>
    <w:rsid w:val="00B946EA"/>
    <w:rsid w:val="00BA36A4"/>
    <w:rsid w:val="00BA6F3C"/>
    <w:rsid w:val="00BC69F5"/>
    <w:rsid w:val="00BD646C"/>
    <w:rsid w:val="00BD7CF7"/>
    <w:rsid w:val="00BE56A3"/>
    <w:rsid w:val="00BF25D9"/>
    <w:rsid w:val="00C17506"/>
    <w:rsid w:val="00C225E5"/>
    <w:rsid w:val="00C63DE3"/>
    <w:rsid w:val="00C72EAC"/>
    <w:rsid w:val="00C91F94"/>
    <w:rsid w:val="00CB2D25"/>
    <w:rsid w:val="00CD6EFA"/>
    <w:rsid w:val="00D0567B"/>
    <w:rsid w:val="00D234B1"/>
    <w:rsid w:val="00D4087D"/>
    <w:rsid w:val="00D861A2"/>
    <w:rsid w:val="00D95B16"/>
    <w:rsid w:val="00DB7A3E"/>
    <w:rsid w:val="00DC41EF"/>
    <w:rsid w:val="00DF13AF"/>
    <w:rsid w:val="00DF74C9"/>
    <w:rsid w:val="00E240E5"/>
    <w:rsid w:val="00E244BD"/>
    <w:rsid w:val="00E56772"/>
    <w:rsid w:val="00E67941"/>
    <w:rsid w:val="00E92937"/>
    <w:rsid w:val="00E92E23"/>
    <w:rsid w:val="00EA650D"/>
    <w:rsid w:val="00EA733D"/>
    <w:rsid w:val="00EA7352"/>
    <w:rsid w:val="00ED206C"/>
    <w:rsid w:val="00EE12DB"/>
    <w:rsid w:val="00EE489F"/>
    <w:rsid w:val="00EE4A5E"/>
    <w:rsid w:val="00F16DE0"/>
    <w:rsid w:val="00F26DF0"/>
    <w:rsid w:val="00F541CC"/>
    <w:rsid w:val="00F71CBA"/>
    <w:rsid w:val="00F93B53"/>
    <w:rsid w:val="00FA0AA6"/>
    <w:rsid w:val="00FB1A75"/>
    <w:rsid w:val="00FB21F7"/>
    <w:rsid w:val="00FB5542"/>
    <w:rsid w:val="00FB6D06"/>
    <w:rsid w:val="00FC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B0D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6335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63351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335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3351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3351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3351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3351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3351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3351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335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33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33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33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335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335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335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335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335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335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6335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63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3351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063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6335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063351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063351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4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06335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33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335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63351"/>
    <w:rPr>
      <w:b/>
      <w:bCs/>
      <w:smallCaps/>
      <w:color w:val="0F4761" w:themeColor="accent1" w:themeShade="BF"/>
      <w:spacing w:val="5"/>
    </w:rPr>
  </w:style>
  <w:style w:type="paragraph" w:customStyle="1" w:styleId="l3">
    <w:name w:val="l3"/>
    <w:basedOn w:val="Normln"/>
    <w:rsid w:val="001F17A6"/>
    <w:pPr>
      <w:spacing w:before="100" w:beforeAutospacing="1" w:after="100" w:afterAutospacing="1"/>
      <w:jc w:val="left"/>
    </w:pPr>
    <w:rPr>
      <w:szCs w:val="24"/>
    </w:rPr>
  </w:style>
  <w:style w:type="paragraph" w:styleId="Zhlav">
    <w:name w:val="header"/>
    <w:basedOn w:val="Normln"/>
    <w:link w:val="ZhlavChar"/>
    <w:uiPriority w:val="99"/>
    <w:unhideWhenUsed/>
    <w:rsid w:val="007F2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2F86"/>
    <w:rPr>
      <w:rFonts w:ascii="Times New Roman" w:eastAsia="Times New Roman" w:hAnsi="Times New Roman" w:cs="Times New Roman"/>
      <w:kern w:val="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2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2F86"/>
    <w:rPr>
      <w:rFonts w:ascii="Times New Roman" w:eastAsia="Times New Roman" w:hAnsi="Times New Roman" w:cs="Times New Roman"/>
      <w:kern w:val="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065D34"/>
  </w:style>
  <w:style w:type="paragraph" w:styleId="Textpoznpodarou">
    <w:name w:val="footnote text"/>
    <w:basedOn w:val="Normln"/>
    <w:link w:val="TextpoznpodarouChar"/>
    <w:unhideWhenUsed/>
    <w:qFormat/>
    <w:rsid w:val="000C3656"/>
    <w:pPr>
      <w:jc w:val="left"/>
    </w:pPr>
    <w:rPr>
      <w:sz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rsid w:val="000C365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nhideWhenUsed/>
    <w:rsid w:val="000C3656"/>
    <w:rPr>
      <w:vertAlign w:val="superscript"/>
    </w:rPr>
  </w:style>
  <w:style w:type="character" w:styleId="Hypertextovodkaz">
    <w:name w:val="Hyperlink"/>
    <w:uiPriority w:val="99"/>
    <w:unhideWhenUsed/>
    <w:rsid w:val="000C3656"/>
    <w:rPr>
      <w:color w:val="0000FF"/>
      <w:u w:val="single"/>
    </w:rPr>
  </w:style>
  <w:style w:type="paragraph" w:styleId="Revize">
    <w:name w:val="Revision"/>
    <w:hidden/>
    <w:uiPriority w:val="99"/>
    <w:semiHidden/>
    <w:rsid w:val="00E240E5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240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40E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40E5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40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40E5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339B6-77CD-4F98-9CDA-04926B3C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1825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2024-11-24T20:56:00Z</dcterms:created>
  <dcterms:modified xsi:type="dcterms:W3CDTF">2024-12-16T20:12:00Z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2024-11-15T15:43:43Z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7bfa4b2d-c547-4a93-9872-4b56e801f5b5</vt:lpwstr>
  </property>
  <property fmtid="{D5CDD505-2E9C-101B-9397-08002B2CF9AE}" pid="8" name="MSIP_Label_f15a8442-68f3-4087-8f05-d564bed44e92_ContentBits">
    <vt:lpwstr>0</vt:lpwstr>
  </property>
</Properties>
</file>