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2DF3C" w14:textId="77777777" w:rsidR="00092572" w:rsidRDefault="00092572"/>
    <w:p w14:paraId="7985CF4B" w14:textId="0EBBFD8F" w:rsidR="00775C14" w:rsidRDefault="00775C14" w:rsidP="00A4768C">
      <w:pPr>
        <w:jc w:val="both"/>
      </w:pPr>
      <w:r>
        <w:t xml:space="preserve">Vážení, </w:t>
      </w:r>
    </w:p>
    <w:p w14:paraId="27D9D19B" w14:textId="77777777" w:rsidR="00775C14" w:rsidRDefault="00775C14" w:rsidP="00A4768C">
      <w:pPr>
        <w:jc w:val="both"/>
      </w:pPr>
    </w:p>
    <w:p w14:paraId="569DECD6" w14:textId="7D1836E8" w:rsidR="00775C14" w:rsidRDefault="00775C14" w:rsidP="00A4768C">
      <w:pPr>
        <w:jc w:val="both"/>
      </w:pPr>
      <w:r>
        <w:t xml:space="preserve">v návaznosti na Vámi doplněnou předžalobní výzvu ze dne 2. prosince 2024, v jejíž příloze jste nám zaslali na vědomí rozsudek Městského soudu v Praze </w:t>
      </w:r>
      <w:proofErr w:type="spellStart"/>
      <w:r>
        <w:t>sp.zn</w:t>
      </w:r>
      <w:proofErr w:type="spellEnd"/>
      <w:r>
        <w:t>. 12 C 19/2022 ze</w:t>
      </w:r>
      <w:r w:rsidR="00A4768C">
        <w:t> </w:t>
      </w:r>
      <w:r>
        <w:t>dne</w:t>
      </w:r>
      <w:r w:rsidR="00A4768C">
        <w:t> </w:t>
      </w:r>
      <w:r>
        <w:t xml:space="preserve">21. února 2023 </w:t>
      </w:r>
      <w:r w:rsidR="00A4768C">
        <w:t xml:space="preserve">(dále také „rozsudek Městského soudu“) </w:t>
      </w:r>
      <w:r>
        <w:t xml:space="preserve">a usnesení Vrchního soudu v Praze </w:t>
      </w:r>
      <w:proofErr w:type="spellStart"/>
      <w:r>
        <w:t>sp.zn</w:t>
      </w:r>
      <w:proofErr w:type="spellEnd"/>
      <w:r>
        <w:t>. 2 Co 47/2023 ze dne 17.</w:t>
      </w:r>
      <w:r w:rsidR="00A4768C">
        <w:t> </w:t>
      </w:r>
      <w:r>
        <w:t>června 2024, vám sdělujeme následující</w:t>
      </w:r>
      <w:r w:rsidR="00FD10A8">
        <w:t>:</w:t>
      </w:r>
    </w:p>
    <w:p w14:paraId="3E0AD76D" w14:textId="77777777" w:rsidR="00775C14" w:rsidRDefault="00775C14"/>
    <w:p w14:paraId="77C32489" w14:textId="6B70DF22" w:rsidR="00A4768C" w:rsidRDefault="00775C14" w:rsidP="00A4768C">
      <w:pPr>
        <w:pStyle w:val="Odstavecseseznamem"/>
        <w:numPr>
          <w:ilvl w:val="0"/>
          <w:numId w:val="2"/>
        </w:numPr>
        <w:jc w:val="both"/>
      </w:pPr>
      <w:r>
        <w:t xml:space="preserve">Společnost </w:t>
      </w:r>
      <w:r w:rsidR="00F84734" w:rsidRPr="00F84734">
        <w:rPr>
          <w:highlight w:val="yellow"/>
        </w:rPr>
        <w:t>……..</w:t>
      </w:r>
      <w:r w:rsidRPr="00F84734">
        <w:rPr>
          <w:highlight w:val="yellow"/>
        </w:rPr>
        <w:t>.</w:t>
      </w:r>
      <w:r>
        <w:t xml:space="preserve"> je podnikatelem v elektronických komunikacích a</w:t>
      </w:r>
      <w:r w:rsidR="00A4768C">
        <w:t> </w:t>
      </w:r>
      <w:r>
        <w:t>poskytuje veřejně dostupnou službu přístupu k internet</w:t>
      </w:r>
      <w:r w:rsidR="000D33AF">
        <w:t>u</w:t>
      </w:r>
      <w:r>
        <w:t>. Podle § 7 odst. 2 zákona č. 127/2005 Sb., o elektronických komunikacích a o změně některých souvisejících zákonů (</w:t>
      </w:r>
      <w:r w:rsidRPr="00A4768C">
        <w:rPr>
          <w:b/>
          <w:bCs/>
          <w:i/>
          <w:iCs/>
        </w:rPr>
        <w:t>zákon o elektronických komunikacích</w:t>
      </w:r>
      <w:r>
        <w:t xml:space="preserve">), ve znění pozdějších předpisů (dále jen „zákon o elektronických komunikacích“), je </w:t>
      </w:r>
      <w:r w:rsidR="00A4768C">
        <w:t xml:space="preserve">mimo jiné </w:t>
      </w:r>
      <w:r>
        <w:t xml:space="preserve">zajišťování veřejné komunikační sítě </w:t>
      </w:r>
      <w:r w:rsidR="00267854">
        <w:t>a poskytování veřejně dostupné služby elektronických komunikací ve veřejném zájmu.</w:t>
      </w:r>
    </w:p>
    <w:p w14:paraId="6A2619E6" w14:textId="2097B9E4" w:rsidR="00775C14" w:rsidRDefault="00267854" w:rsidP="00A4768C">
      <w:pPr>
        <w:pStyle w:val="Odstavecseseznamem"/>
        <w:jc w:val="both"/>
      </w:pPr>
      <w:r>
        <w:t xml:space="preserve"> </w:t>
      </w:r>
    </w:p>
    <w:p w14:paraId="63B46DF7" w14:textId="77777777" w:rsidR="00A4768C" w:rsidRDefault="004005E3" w:rsidP="00A4768C">
      <w:pPr>
        <w:pStyle w:val="Odstavecseseznamem"/>
        <w:numPr>
          <w:ilvl w:val="0"/>
          <w:numId w:val="2"/>
        </w:numPr>
        <w:jc w:val="both"/>
      </w:pPr>
      <w:r>
        <w:t>D</w:t>
      </w:r>
      <w:r w:rsidR="00267854">
        <w:t>efinice veřejného zájmu není v českém právním řádu jednotná, jedná se o právní pojem</w:t>
      </w:r>
      <w:r>
        <w:t>,</w:t>
      </w:r>
      <w:r w:rsidR="00267854">
        <w:t xml:space="preserve"> </w:t>
      </w:r>
      <w:r>
        <w:t>k</w:t>
      </w:r>
      <w:r w:rsidR="00267854">
        <w:t>terý je vždy nutné interpretovat v kontextu konkrétní právní normy. Obecně lze veřejný zájem chápat jako zájem, který přesahuje individuální nebo skupinové zájmy a slouží prospěchu celé společnosti nebo její podstatné části.</w:t>
      </w:r>
    </w:p>
    <w:p w14:paraId="1384CCD6" w14:textId="145D8B44" w:rsidR="00267854" w:rsidRDefault="00267854" w:rsidP="00A4768C">
      <w:pPr>
        <w:jc w:val="both"/>
      </w:pPr>
      <w:r>
        <w:t xml:space="preserve"> </w:t>
      </w:r>
    </w:p>
    <w:p w14:paraId="3B14597F" w14:textId="62D508A7" w:rsidR="00267854" w:rsidRDefault="00267854" w:rsidP="00A4768C">
      <w:pPr>
        <w:pStyle w:val="Odstavecseseznamem"/>
        <w:numPr>
          <w:ilvl w:val="0"/>
          <w:numId w:val="2"/>
        </w:numPr>
        <w:jc w:val="both"/>
      </w:pPr>
      <w:r>
        <w:t xml:space="preserve">V případě zákona o elektronických komunikacích je </w:t>
      </w:r>
      <w:r w:rsidRPr="00FD10A8">
        <w:rPr>
          <w:b/>
          <w:bCs/>
        </w:rPr>
        <w:t>veřejný zájem spojen mimo jiné se zajištěním přístupu k veřejným komunikačním sítím a službám, což má za cíl podpořit konektivitu, dostupnost a rovné podmínky přístupu k moderním technologiím</w:t>
      </w:r>
      <w:r w:rsidR="00A4768C" w:rsidRPr="00FD10A8">
        <w:rPr>
          <w:b/>
          <w:bCs/>
        </w:rPr>
        <w:t xml:space="preserve"> a informacím</w:t>
      </w:r>
      <w:r w:rsidRPr="00FD10A8">
        <w:rPr>
          <w:b/>
          <w:bCs/>
        </w:rPr>
        <w:t xml:space="preserve"> pro všechny </w:t>
      </w:r>
      <w:r w:rsidR="00A4768C" w:rsidRPr="00FD10A8">
        <w:rPr>
          <w:b/>
          <w:bCs/>
        </w:rPr>
        <w:t>účastníky</w:t>
      </w:r>
      <w:r w:rsidRPr="00FD10A8">
        <w:rPr>
          <w:b/>
          <w:bCs/>
        </w:rPr>
        <w:t>.</w:t>
      </w:r>
      <w:r>
        <w:t xml:space="preserve"> S tímto legitimním cílem, který nenarušuje nadměrně práva jednotlivců, jdou ruku v ruce práva a povinnosti podnikatelů v elektronických komunikacích, které jsou </w:t>
      </w:r>
      <w:r w:rsidR="004005E3">
        <w:t>zakotveny (nejen) v zákoně o elektronických komunikacích a tvoří tak předvídatelný právní rámec pro výkon podnikatelské činnosti v oblasti elektronických komunikací v České republice.</w:t>
      </w:r>
    </w:p>
    <w:p w14:paraId="744D1B58" w14:textId="77777777" w:rsidR="00A4768C" w:rsidRDefault="00A4768C" w:rsidP="00A4768C">
      <w:pPr>
        <w:jc w:val="both"/>
      </w:pPr>
    </w:p>
    <w:p w14:paraId="7211A8E3" w14:textId="44ED521A" w:rsidR="004005E3" w:rsidRDefault="004005E3" w:rsidP="00A4768C">
      <w:pPr>
        <w:pStyle w:val="Odstavecseseznamem"/>
        <w:numPr>
          <w:ilvl w:val="0"/>
          <w:numId w:val="2"/>
        </w:numPr>
        <w:jc w:val="both"/>
      </w:pPr>
      <w:r w:rsidRPr="004005E3">
        <w:t xml:space="preserve">Ústavní soud České republiky ve svém nálezu </w:t>
      </w:r>
      <w:proofErr w:type="spellStart"/>
      <w:r w:rsidRPr="00FD10A8">
        <w:rPr>
          <w:b/>
          <w:bCs/>
          <w:i/>
          <w:iCs/>
        </w:rPr>
        <w:t>sp</w:t>
      </w:r>
      <w:proofErr w:type="spellEnd"/>
      <w:r w:rsidRPr="00FD10A8">
        <w:rPr>
          <w:b/>
          <w:bCs/>
          <w:i/>
          <w:iCs/>
        </w:rPr>
        <w:t>. zn. III. ÚS 455/03</w:t>
      </w:r>
      <w:r w:rsidRPr="004005E3">
        <w:t xml:space="preserve"> zdůraznil, že veřejný zájem nelze ztotožňovat s jakýmkoli kolektivním zájmem. Je třeba jej chápat jako zájem obecně prospěšný, který slouží celé společnosti, nikoli pouze určité skupině.</w:t>
      </w:r>
    </w:p>
    <w:p w14:paraId="41B82259" w14:textId="77777777" w:rsidR="00A4768C" w:rsidRDefault="00A4768C" w:rsidP="00A4768C">
      <w:pPr>
        <w:jc w:val="both"/>
      </w:pPr>
    </w:p>
    <w:p w14:paraId="51805EC3" w14:textId="0E2500E8" w:rsidR="004005E3" w:rsidRDefault="004005E3" w:rsidP="00A4768C">
      <w:pPr>
        <w:pStyle w:val="Odstavecseseznamem"/>
        <w:numPr>
          <w:ilvl w:val="0"/>
          <w:numId w:val="2"/>
        </w:numPr>
        <w:jc w:val="both"/>
      </w:pPr>
      <w:r>
        <w:t xml:space="preserve">Společnost </w:t>
      </w:r>
      <w:r w:rsidR="00F84734" w:rsidRPr="00F84734">
        <w:rPr>
          <w:highlight w:val="yellow"/>
        </w:rPr>
        <w:t>………</w:t>
      </w:r>
      <w:r>
        <w:t xml:space="preserve"> není poskytovatelem služeb ukládaní uživatelského obsahu. </w:t>
      </w:r>
    </w:p>
    <w:p w14:paraId="6FCD6298" w14:textId="77777777" w:rsidR="00A4768C" w:rsidRDefault="00A4768C" w:rsidP="00A4768C">
      <w:pPr>
        <w:jc w:val="both"/>
      </w:pPr>
    </w:p>
    <w:p w14:paraId="3FC940AA" w14:textId="3C64DD29" w:rsidR="00A4768C" w:rsidRDefault="004005E3" w:rsidP="00A4768C">
      <w:pPr>
        <w:pStyle w:val="Odstavecseseznamem"/>
        <w:numPr>
          <w:ilvl w:val="0"/>
          <w:numId w:val="2"/>
        </w:numPr>
        <w:jc w:val="both"/>
      </w:pPr>
      <w:r>
        <w:t xml:space="preserve">Společnost </w:t>
      </w:r>
      <w:proofErr w:type="gramStart"/>
      <w:r w:rsidR="00F84734" w:rsidRPr="00F84734">
        <w:rPr>
          <w:highlight w:val="yellow"/>
        </w:rPr>
        <w:t>…….</w:t>
      </w:r>
      <w:proofErr w:type="gramEnd"/>
      <w:r w:rsidRPr="00F84734">
        <w:rPr>
          <w:highlight w:val="yellow"/>
        </w:rPr>
        <w:t>.</w:t>
      </w:r>
      <w:r>
        <w:t xml:space="preserve"> nemá žádnou právní ani faktickou vazbu na služby poskytované na webových stránkách </w:t>
      </w:r>
      <w:hyperlink r:id="rId7" w:history="1">
        <w:r w:rsidRPr="004005E3">
          <w:rPr>
            <w:rStyle w:val="Hypertextovodkaz"/>
          </w:rPr>
          <w:t>https://webshare.cz/</w:t>
        </w:r>
      </w:hyperlink>
      <w:r w:rsidRPr="004005E3">
        <w:t>;</w:t>
      </w:r>
      <w:r>
        <w:t xml:space="preserve"> </w:t>
      </w:r>
      <w:hyperlink r:id="rId8" w:history="1">
        <w:r w:rsidRPr="004D4CA7">
          <w:rPr>
            <w:rStyle w:val="Hypertextovodkaz"/>
          </w:rPr>
          <w:t>https://www.sledujteto.cz/</w:t>
        </w:r>
      </w:hyperlink>
      <w:r w:rsidRPr="004005E3">
        <w:t>;</w:t>
      </w:r>
      <w:r>
        <w:t xml:space="preserve"> </w:t>
      </w:r>
      <w:hyperlink r:id="rId9" w:history="1">
        <w:r w:rsidRPr="004D4CA7">
          <w:rPr>
            <w:rStyle w:val="Hypertextovodkaz"/>
          </w:rPr>
          <w:t>https://www.sdilej.cz/</w:t>
        </w:r>
      </w:hyperlink>
      <w:r w:rsidRPr="004005E3">
        <w:t>;</w:t>
      </w:r>
      <w:r>
        <w:t xml:space="preserve"> </w:t>
      </w:r>
      <w:hyperlink r:id="rId10" w:history="1">
        <w:r w:rsidRPr="004D4CA7">
          <w:rPr>
            <w:rStyle w:val="Hypertextovodkaz"/>
          </w:rPr>
          <w:t>https://prehrajto.cz/</w:t>
        </w:r>
      </w:hyperlink>
      <w:r w:rsidRPr="004005E3">
        <w:t>;</w:t>
      </w:r>
      <w:r>
        <w:t xml:space="preserve"> </w:t>
      </w:r>
      <w:hyperlink r:id="rId11" w:history="1">
        <w:r w:rsidRPr="004D4CA7">
          <w:rPr>
            <w:rStyle w:val="Hypertextovodkaz"/>
          </w:rPr>
          <w:t>https://fastshare.cz/</w:t>
        </w:r>
      </w:hyperlink>
      <w:r w:rsidRPr="004005E3">
        <w:t xml:space="preserve">; </w:t>
      </w:r>
      <w:hyperlink r:id="rId12" w:history="1">
        <w:r w:rsidRPr="004005E3">
          <w:rPr>
            <w:rStyle w:val="Hypertextovodkaz"/>
          </w:rPr>
          <w:t>https://www.edisk.cz/</w:t>
        </w:r>
      </w:hyperlink>
      <w:r w:rsidRPr="004005E3">
        <w:t xml:space="preserve">; </w:t>
      </w:r>
      <w:hyperlink r:id="rId13" w:history="1">
        <w:r w:rsidRPr="004005E3">
          <w:rPr>
            <w:rStyle w:val="Hypertextovodkaz"/>
          </w:rPr>
          <w:t>https://datoid.cz/</w:t>
        </w:r>
      </w:hyperlink>
      <w:r w:rsidRPr="004005E3">
        <w:t xml:space="preserve">; </w:t>
      </w:r>
      <w:hyperlink r:id="rId14" w:history="1">
        <w:r w:rsidRPr="004005E3">
          <w:rPr>
            <w:rStyle w:val="Hypertextovodkaz"/>
          </w:rPr>
          <w:t>https://www.hellspy.cz/</w:t>
        </w:r>
      </w:hyperlink>
      <w:r w:rsidRPr="004005E3">
        <w:t>,</w:t>
      </w:r>
      <w:r>
        <w:t xml:space="preserve"> ke kterým Váš klient požaduje zamezit přístup zákazníkům</w:t>
      </w:r>
      <w:r w:rsidR="00F977A9">
        <w:t xml:space="preserve"> společnosti AVONET, s.r.o</w:t>
      </w:r>
      <w:r>
        <w:t>.</w:t>
      </w:r>
    </w:p>
    <w:p w14:paraId="5E3EDFAB" w14:textId="376BDB4F" w:rsidR="004005E3" w:rsidRDefault="004005E3" w:rsidP="00A4768C">
      <w:pPr>
        <w:jc w:val="both"/>
      </w:pPr>
      <w:r>
        <w:t xml:space="preserve">  </w:t>
      </w:r>
    </w:p>
    <w:p w14:paraId="7ECF1D3F" w14:textId="724808D2" w:rsidR="00A4768C" w:rsidRDefault="004005E3" w:rsidP="00A4768C">
      <w:pPr>
        <w:pStyle w:val="Odstavecseseznamem"/>
        <w:numPr>
          <w:ilvl w:val="0"/>
          <w:numId w:val="2"/>
        </w:numPr>
        <w:jc w:val="both"/>
      </w:pPr>
      <w:r>
        <w:t xml:space="preserve">Společnost </w:t>
      </w:r>
      <w:r w:rsidR="00F84734" w:rsidRPr="00F84734">
        <w:rPr>
          <w:highlight w:val="yellow"/>
        </w:rPr>
        <w:t>……</w:t>
      </w:r>
      <w:r>
        <w:t xml:space="preserve"> nemá žádnou informaci o tom, že by </w:t>
      </w:r>
      <w:r w:rsidR="00F977A9">
        <w:t xml:space="preserve">její </w:t>
      </w:r>
      <w:r w:rsidR="00CB74C2">
        <w:t xml:space="preserve">zákazníci využívali </w:t>
      </w:r>
      <w:r w:rsidR="00A4768C">
        <w:t xml:space="preserve">poskytovanou </w:t>
      </w:r>
      <w:r w:rsidR="00CB74C2">
        <w:t xml:space="preserve">službu přístupu k internetu k přístupu na výše uvedené webové </w:t>
      </w:r>
      <w:r w:rsidR="00CB74C2">
        <w:lastRenderedPageBreak/>
        <w:t>stránky a porušovali autorská práva Vašeho klienta.</w:t>
      </w:r>
      <w:r w:rsidR="0080632E">
        <w:t xml:space="preserve"> Pokud disponujete jinou informací, žádám Vás o její sdělení.</w:t>
      </w:r>
    </w:p>
    <w:p w14:paraId="17F21F0F" w14:textId="2E2C914E" w:rsidR="004005E3" w:rsidRDefault="0080632E" w:rsidP="00A4768C">
      <w:pPr>
        <w:jc w:val="both"/>
      </w:pPr>
      <w:r>
        <w:t xml:space="preserve"> </w:t>
      </w:r>
    </w:p>
    <w:p w14:paraId="5A3B671A" w14:textId="4B9BF29C" w:rsidR="00A4768C" w:rsidRDefault="00F032EF" w:rsidP="00A4768C">
      <w:pPr>
        <w:pStyle w:val="Odstavecseseznamem"/>
        <w:numPr>
          <w:ilvl w:val="0"/>
          <w:numId w:val="2"/>
        </w:numPr>
        <w:jc w:val="both"/>
      </w:pPr>
      <w:r>
        <w:t>Výše uvedené domény, jejichž obsah je Vaš</w:t>
      </w:r>
      <w:r w:rsidR="00B16516">
        <w:t>í</w:t>
      </w:r>
      <w:r>
        <w:t xml:space="preserve">m klientem napadán, jsou </w:t>
      </w:r>
      <w:r w:rsidRPr="00FD10A8">
        <w:rPr>
          <w:b/>
          <w:bCs/>
        </w:rPr>
        <w:t xml:space="preserve">registrovány pod národní doménou nejvyšší úrovně </w:t>
      </w:r>
      <w:r w:rsidR="0080632E" w:rsidRPr="00FD10A8">
        <w:rPr>
          <w:b/>
          <w:bCs/>
        </w:rPr>
        <w:t>.</w:t>
      </w:r>
      <w:r w:rsidRPr="00FD10A8">
        <w:rPr>
          <w:b/>
          <w:bCs/>
        </w:rPr>
        <w:t xml:space="preserve">CZ a jejich držitele lze identifikovat prostřednictvím služby </w:t>
      </w:r>
      <w:proofErr w:type="spellStart"/>
      <w:r w:rsidRPr="00FD10A8">
        <w:rPr>
          <w:b/>
          <w:bCs/>
        </w:rPr>
        <w:t>whois</w:t>
      </w:r>
      <w:proofErr w:type="spellEnd"/>
      <w:r w:rsidR="0080632E">
        <w:t>. Z veřejně dostupných zdrojů je patrné, že registr národní domény nejvyšší úrovně .CZ</w:t>
      </w:r>
      <w:r>
        <w:t xml:space="preserve"> </w:t>
      </w:r>
      <w:r w:rsidR="0080632E">
        <w:t>má postupy a procesy k vyžádání informací o</w:t>
      </w:r>
      <w:r w:rsidR="00A4768C">
        <w:t> </w:t>
      </w:r>
      <w:r w:rsidR="0080632E">
        <w:t>držiteli jména domény.</w:t>
      </w:r>
    </w:p>
    <w:p w14:paraId="3A427FE6" w14:textId="733BDA87" w:rsidR="00CB74C2" w:rsidRDefault="0080632E" w:rsidP="00A4768C">
      <w:pPr>
        <w:jc w:val="both"/>
      </w:pPr>
      <w:r>
        <w:t xml:space="preserve"> </w:t>
      </w:r>
    </w:p>
    <w:p w14:paraId="744A735A" w14:textId="6090A9D4" w:rsidR="0080632E" w:rsidRDefault="0080632E" w:rsidP="00A4768C">
      <w:pPr>
        <w:pStyle w:val="Odstavecseseznamem"/>
        <w:numPr>
          <w:ilvl w:val="0"/>
          <w:numId w:val="2"/>
        </w:numPr>
        <w:jc w:val="both"/>
      </w:pPr>
      <w:r w:rsidRPr="00FD10A8">
        <w:rPr>
          <w:b/>
          <w:bCs/>
        </w:rPr>
        <w:t>Vámi zaslaný rozsudek Městského soudu jsme pečlivě prostudovali, ale bohužel musíme konstatovat, že skutkové okolnosti obou případů jsou odlišné.</w:t>
      </w:r>
      <w:r>
        <w:t xml:space="preserve"> </w:t>
      </w:r>
      <w:r w:rsidRPr="0080632E">
        <w:t xml:space="preserve">V případě, který řešil Městský soud, se jednalo o </w:t>
      </w:r>
      <w:r>
        <w:t xml:space="preserve">webové stránky, které poskytovaly </w:t>
      </w:r>
      <w:r w:rsidR="00F977A9">
        <w:t xml:space="preserve">pouze a jen </w:t>
      </w:r>
      <w:r w:rsidRPr="0080632E">
        <w:t>nezpochybnitelný nelegální obsah</w:t>
      </w:r>
      <w:r w:rsidR="00A4768C">
        <w:t xml:space="preserve"> a ten</w:t>
      </w:r>
      <w:r>
        <w:t xml:space="preserve"> </w:t>
      </w:r>
      <w:r w:rsidRPr="0080632E">
        <w:t xml:space="preserve">byl </w:t>
      </w:r>
      <w:r w:rsidR="00A4768C">
        <w:t xml:space="preserve">navíc </w:t>
      </w:r>
      <w:r w:rsidRPr="0080632E">
        <w:t>umístěn na doméně, která byla mimo jurisdikci českého doménového registru</w:t>
      </w:r>
      <w:r w:rsidR="009960C9">
        <w:t xml:space="preserve"> (filmplanet.to v jurisdikci doménového registru státu Tonga)</w:t>
      </w:r>
      <w:r w:rsidRPr="0080632E">
        <w:t>.</w:t>
      </w:r>
    </w:p>
    <w:p w14:paraId="2489BEA7" w14:textId="77777777" w:rsidR="00A4768C" w:rsidRDefault="00A4768C" w:rsidP="00A4768C">
      <w:pPr>
        <w:jc w:val="both"/>
      </w:pPr>
    </w:p>
    <w:p w14:paraId="7255B819" w14:textId="32EE4216" w:rsidR="0080632E" w:rsidRPr="00FD10A8" w:rsidRDefault="0080632E" w:rsidP="00A4768C">
      <w:pPr>
        <w:pStyle w:val="Odstavecseseznamem"/>
        <w:numPr>
          <w:ilvl w:val="0"/>
          <w:numId w:val="2"/>
        </w:numPr>
        <w:jc w:val="both"/>
      </w:pPr>
      <w:r w:rsidRPr="0080632E">
        <w:t xml:space="preserve">Byť </w:t>
      </w:r>
      <w:r>
        <w:t xml:space="preserve">plně </w:t>
      </w:r>
      <w:r w:rsidRPr="0080632E">
        <w:t>respektujeme zákonem chráněný zájem Vašeho klienta, z veřejně dostupných zdrojů je zřejmé, že</w:t>
      </w:r>
      <w:r w:rsidRPr="0080632E">
        <w:rPr>
          <w:b/>
          <w:bCs/>
        </w:rPr>
        <w:t xml:space="preserve"> tyto weby mohou sloužit k legálním účelům</w:t>
      </w:r>
      <w:r w:rsidRPr="0080632E">
        <w:t xml:space="preserve"> (například popis služby jednoho z nich "chceme vytvořit komplexní uložiště, které umožňuje uživatelům ukládat si svá data vše</w:t>
      </w:r>
      <w:r w:rsidR="0001432F">
        <w:t>h</w:t>
      </w:r>
      <w:r w:rsidRPr="0080632E">
        <w:t>o druhu, ať už jde o fotografie, rodinná videa, či rozličné dokumenty. Pracovat s nimi na různých zařízeních a</w:t>
      </w:r>
      <w:r w:rsidR="00A4768C">
        <w:t> </w:t>
      </w:r>
      <w:r w:rsidRPr="0080632E">
        <w:t>v</w:t>
      </w:r>
      <w:r w:rsidR="00A4768C">
        <w:t> </w:t>
      </w:r>
      <w:r w:rsidRPr="0080632E">
        <w:t>případě potřeby je sdílet se svými přáteli.</w:t>
      </w:r>
      <w:r>
        <w:t>“</w:t>
      </w:r>
      <w:r w:rsidRPr="0080632E">
        <w:t xml:space="preserve">) Pokud bychom provedli blokaci celého webu, omezili bychom přístup zákazníků právě k těmto legálním informacím a obsahu. </w:t>
      </w:r>
      <w:r w:rsidRPr="0080632E">
        <w:rPr>
          <w:b/>
          <w:bCs/>
        </w:rPr>
        <w:t>Ani v tomto případě tedy vámi požadovaný zásah není naroveň se skutkovým stavem popisovaným v</w:t>
      </w:r>
      <w:r>
        <w:rPr>
          <w:b/>
          <w:bCs/>
        </w:rPr>
        <w:t>e Vámi</w:t>
      </w:r>
      <w:r w:rsidRPr="0080632E">
        <w:rPr>
          <w:b/>
          <w:bCs/>
        </w:rPr>
        <w:t xml:space="preserve"> zaslaném rozsudku Městského soudu.</w:t>
      </w:r>
    </w:p>
    <w:p w14:paraId="693F6742" w14:textId="77777777" w:rsidR="00F977A9" w:rsidRDefault="00F977A9" w:rsidP="00FD10A8">
      <w:pPr>
        <w:pStyle w:val="Odstavecseseznamem"/>
      </w:pPr>
    </w:p>
    <w:p w14:paraId="6993E184" w14:textId="36BB2F3B" w:rsidR="00F977A9" w:rsidRPr="00A4768C" w:rsidRDefault="00F977A9" w:rsidP="00A4768C">
      <w:pPr>
        <w:pStyle w:val="Odstavecseseznamem"/>
        <w:numPr>
          <w:ilvl w:val="0"/>
          <w:numId w:val="2"/>
        </w:numPr>
        <w:jc w:val="both"/>
      </w:pPr>
      <w:r>
        <w:t xml:space="preserve">Společnost </w:t>
      </w:r>
      <w:r w:rsidR="00F84734" w:rsidRPr="00F84734">
        <w:rPr>
          <w:highlight w:val="yellow"/>
        </w:rPr>
        <w:t>…….</w:t>
      </w:r>
      <w:r>
        <w:t xml:space="preserve"> nemůže být arbitrem posuzování zákonnosti nebo nezákonnosti obsahu webové stránky a nahrazovat tak právně závazné rozhodnutí.</w:t>
      </w:r>
    </w:p>
    <w:p w14:paraId="74A4FEF5" w14:textId="77777777" w:rsidR="00A4768C" w:rsidRPr="00155D63" w:rsidRDefault="00A4768C" w:rsidP="00A4768C">
      <w:pPr>
        <w:jc w:val="both"/>
      </w:pPr>
    </w:p>
    <w:p w14:paraId="203CB666" w14:textId="77777777" w:rsidR="00A4768C" w:rsidRDefault="00155D63" w:rsidP="00A4768C">
      <w:pPr>
        <w:pStyle w:val="Odstavecseseznamem"/>
        <w:numPr>
          <w:ilvl w:val="0"/>
          <w:numId w:val="2"/>
        </w:numPr>
        <w:jc w:val="both"/>
      </w:pPr>
      <w:r>
        <w:t xml:space="preserve">V kontextu judikatury Evropského soudního dvora bychom </w:t>
      </w:r>
      <w:r w:rsidR="00A4768C">
        <w:t xml:space="preserve">Vás </w:t>
      </w:r>
      <w:r>
        <w:t xml:space="preserve">rádi </w:t>
      </w:r>
      <w:r w:rsidR="00A4768C">
        <w:t>upozornili na</w:t>
      </w:r>
      <w:r>
        <w:t xml:space="preserve"> </w:t>
      </w:r>
      <w:r w:rsidR="00A4768C">
        <w:t>rozhodnutí</w:t>
      </w:r>
      <w:r>
        <w:t xml:space="preserve"> </w:t>
      </w:r>
      <w:r w:rsidRPr="00155D63">
        <w:rPr>
          <w:b/>
          <w:bCs/>
        </w:rPr>
        <w:t xml:space="preserve">Scarlet </w:t>
      </w:r>
      <w:proofErr w:type="spellStart"/>
      <w:r w:rsidRPr="00155D63">
        <w:rPr>
          <w:b/>
          <w:bCs/>
        </w:rPr>
        <w:t>Extended</w:t>
      </w:r>
      <w:proofErr w:type="spellEnd"/>
      <w:r w:rsidRPr="00155D63">
        <w:rPr>
          <w:b/>
          <w:bCs/>
        </w:rPr>
        <w:t xml:space="preserve"> (C-70/10)</w:t>
      </w:r>
      <w:r>
        <w:t>, kdy Evropský soudní dvůr zdůraznil, že ochrana práv duševního vlastnictví nemůže být absolutní a musí být vyvážená s jinými základními právy, jako je například svoboda podnikání</w:t>
      </w:r>
      <w:r w:rsidR="00C86D57">
        <w:t xml:space="preserve">, </w:t>
      </w:r>
      <w:r>
        <w:t>ochrana osobních údajů</w:t>
      </w:r>
      <w:r w:rsidR="00C86D57">
        <w:t xml:space="preserve"> </w:t>
      </w:r>
      <w:r w:rsidR="00A4768C">
        <w:t xml:space="preserve">a </w:t>
      </w:r>
      <w:r w:rsidR="00C86D57">
        <w:t>svoboda přijímat a rozšiřovat informace</w:t>
      </w:r>
      <w:r>
        <w:t>.</w:t>
      </w:r>
    </w:p>
    <w:p w14:paraId="49E73E06" w14:textId="0FFAB69F" w:rsidR="00155D63" w:rsidRDefault="00155D63" w:rsidP="00A4768C">
      <w:pPr>
        <w:jc w:val="both"/>
      </w:pPr>
      <w:r>
        <w:t xml:space="preserve"> </w:t>
      </w:r>
    </w:p>
    <w:p w14:paraId="286BF804" w14:textId="07ED973D" w:rsidR="00155D63" w:rsidRDefault="00155D63" w:rsidP="00A4768C">
      <w:pPr>
        <w:pStyle w:val="Odstavecseseznamem"/>
        <w:numPr>
          <w:ilvl w:val="0"/>
          <w:numId w:val="2"/>
        </w:numPr>
        <w:jc w:val="both"/>
      </w:pPr>
      <w:r>
        <w:t>Tento rozsudek se také vyjádřil k plošnosti blokování, kdy konstatoval, že „d</w:t>
      </w:r>
      <w:r w:rsidRPr="00155D63">
        <w:t xml:space="preserve">aný příkaz může navíc porušit i svobodu informací, neboť hrozí, že </w:t>
      </w:r>
      <w:r w:rsidRPr="00FD10A8">
        <w:rPr>
          <w:b/>
          <w:bCs/>
        </w:rPr>
        <w:t>tento systém nebude dostatečně rozlišovat mezi legálním a protiprávním obsahem, takže by při jeho provozu mohlo docházet i k blokování sdělení s legálním obsahem.</w:t>
      </w:r>
      <w:r w:rsidRPr="00155D63">
        <w:t xml:space="preserve"> Není totiž sporu o tom, že odpověď na otázku legality přenosu závisí také na uplatnění zákonných výjimek z autorského práva, které jsou v jednotlivých členských státech různé. V některých členských státech navíc mohou být určitá díla volná nebo je mohou dotyční autoři zdarma uveřejnit na internetu.</w:t>
      </w:r>
      <w:r>
        <w:t>“</w:t>
      </w:r>
      <w:r w:rsidR="00EE5746">
        <w:t xml:space="preserve"> </w:t>
      </w:r>
    </w:p>
    <w:p w14:paraId="1533FD97" w14:textId="77777777" w:rsidR="00EE5746" w:rsidRDefault="00EE5746" w:rsidP="00EE5746">
      <w:pPr>
        <w:jc w:val="both"/>
      </w:pPr>
    </w:p>
    <w:p w14:paraId="2DDE775E" w14:textId="38B71719" w:rsidR="00EE5746" w:rsidRPr="00FD10A8" w:rsidRDefault="00EE5746" w:rsidP="00EE5746">
      <w:pPr>
        <w:pStyle w:val="Odstavecseseznamem"/>
        <w:numPr>
          <w:ilvl w:val="0"/>
          <w:numId w:val="2"/>
        </w:numPr>
        <w:jc w:val="both"/>
      </w:pPr>
      <w:r w:rsidRPr="00EE5746">
        <w:t xml:space="preserve">Rozhodnutí Scarlet </w:t>
      </w:r>
      <w:proofErr w:type="spellStart"/>
      <w:r w:rsidRPr="00EE5746">
        <w:t>Extended</w:t>
      </w:r>
      <w:proofErr w:type="spellEnd"/>
      <w:r w:rsidRPr="00EE5746">
        <w:t xml:space="preserve"> (C-70/10) byl</w:t>
      </w:r>
      <w:r w:rsidR="00F977A9">
        <w:t>o</w:t>
      </w:r>
      <w:r w:rsidRPr="00EE5746">
        <w:t xml:space="preserve"> následně doplněn</w:t>
      </w:r>
      <w:r w:rsidR="00F977A9">
        <w:t>o</w:t>
      </w:r>
      <w:r w:rsidRPr="00EE5746">
        <w:t xml:space="preserve"> rozhodnutím ve věci </w:t>
      </w:r>
      <w:r w:rsidR="00C86D57" w:rsidRPr="00C86D57">
        <w:rPr>
          <w:b/>
          <w:bCs/>
        </w:rPr>
        <w:t xml:space="preserve">UPC </w:t>
      </w:r>
      <w:proofErr w:type="spellStart"/>
      <w:r w:rsidR="00C86D57" w:rsidRPr="00C86D57">
        <w:rPr>
          <w:b/>
          <w:bCs/>
        </w:rPr>
        <w:t>Telekabel</w:t>
      </w:r>
      <w:proofErr w:type="spellEnd"/>
      <w:r w:rsidR="00C86D57" w:rsidRPr="00C86D57">
        <w:rPr>
          <w:b/>
          <w:bCs/>
        </w:rPr>
        <w:t xml:space="preserve"> </w:t>
      </w:r>
      <w:proofErr w:type="spellStart"/>
      <w:r w:rsidR="00C86D57" w:rsidRPr="00C86D57">
        <w:rPr>
          <w:b/>
          <w:bCs/>
        </w:rPr>
        <w:t>Wien</w:t>
      </w:r>
      <w:proofErr w:type="spellEnd"/>
      <w:r w:rsidR="00C86D57" w:rsidRPr="00C86D57">
        <w:rPr>
          <w:b/>
          <w:bCs/>
        </w:rPr>
        <w:t xml:space="preserve"> </w:t>
      </w:r>
      <w:proofErr w:type="spellStart"/>
      <w:r w:rsidR="00C86D57" w:rsidRPr="00C86D57">
        <w:rPr>
          <w:b/>
          <w:bCs/>
        </w:rPr>
        <w:t>GmbH</w:t>
      </w:r>
      <w:proofErr w:type="spellEnd"/>
      <w:r w:rsidR="00C86D57" w:rsidRPr="00C86D57">
        <w:rPr>
          <w:b/>
          <w:bCs/>
        </w:rPr>
        <w:t xml:space="preserve"> v. Constantin Film </w:t>
      </w:r>
      <w:proofErr w:type="spellStart"/>
      <w:r w:rsidR="00C86D57" w:rsidRPr="00C86D57">
        <w:rPr>
          <w:b/>
          <w:bCs/>
        </w:rPr>
        <w:t>Verleih</w:t>
      </w:r>
      <w:proofErr w:type="spellEnd"/>
      <w:r w:rsidR="00C86D57" w:rsidRPr="00C86D57">
        <w:rPr>
          <w:b/>
          <w:bCs/>
        </w:rPr>
        <w:t xml:space="preserve"> </w:t>
      </w:r>
      <w:proofErr w:type="spellStart"/>
      <w:r w:rsidR="00C86D57" w:rsidRPr="00C86D57">
        <w:rPr>
          <w:b/>
          <w:bCs/>
        </w:rPr>
        <w:t>GmbH</w:t>
      </w:r>
      <w:proofErr w:type="spellEnd"/>
      <w:r w:rsidR="00C86D57" w:rsidRPr="00C86D57">
        <w:t xml:space="preserve"> (C-314/12) </w:t>
      </w:r>
      <w:r w:rsidR="00C86D57" w:rsidRPr="00C86D57">
        <w:lastRenderedPageBreak/>
        <w:t>z</w:t>
      </w:r>
      <w:r>
        <w:t> </w:t>
      </w:r>
      <w:r w:rsidR="00C86D57" w:rsidRPr="00C86D57">
        <w:t>27.</w:t>
      </w:r>
      <w:r w:rsidRPr="00EE5746">
        <w:t> </w:t>
      </w:r>
      <w:r w:rsidR="00C86D57" w:rsidRPr="00C86D57">
        <w:t>března 2014</w:t>
      </w:r>
      <w:r w:rsidRPr="00EE5746">
        <w:t>, kdy</w:t>
      </w:r>
      <w:r w:rsidR="00C86D57" w:rsidRPr="00C86D57">
        <w:t> </w:t>
      </w:r>
      <w:r w:rsidRPr="00EE5746">
        <w:t>Evropský</w:t>
      </w:r>
      <w:r w:rsidR="00C86D57" w:rsidRPr="00EE5746">
        <w:t xml:space="preserve"> </w:t>
      </w:r>
      <w:r w:rsidRPr="00EE5746">
        <w:t>s</w:t>
      </w:r>
      <w:r w:rsidR="00C86D57" w:rsidRPr="00EE5746">
        <w:t xml:space="preserve">oudní dvůr </w:t>
      </w:r>
      <w:r w:rsidR="00F977A9">
        <w:t>konstatoval</w:t>
      </w:r>
      <w:r w:rsidR="00C86D57" w:rsidRPr="00EE5746">
        <w:t xml:space="preserve">, že soudní příkaz nařizující </w:t>
      </w:r>
      <w:r w:rsidRPr="00EE5746">
        <w:t>poskytovateli služby přístupu k internetu (ISP)</w:t>
      </w:r>
      <w:r w:rsidR="00C86D57" w:rsidRPr="00EE5746">
        <w:t xml:space="preserve"> zablokovat přístup k určité webové stránce porušující autorská práva je přípustný, </w:t>
      </w:r>
      <w:r w:rsidR="00C86D57" w:rsidRPr="00FD10A8">
        <w:rPr>
          <w:b/>
          <w:bCs/>
        </w:rPr>
        <w:t>pokud jsou opatření přiměřená, neukládají poskytovateli nepřiměřenou zátěž a zajišťují spravedlivou rovnováhu mezi ochrannou autorských práv a svobodou podnikání poskytovatele.</w:t>
      </w:r>
    </w:p>
    <w:p w14:paraId="3D9ADA2B" w14:textId="77777777" w:rsidR="00105684" w:rsidRDefault="00105684" w:rsidP="00FD10A8">
      <w:pPr>
        <w:pStyle w:val="Odstavecseseznamem"/>
      </w:pPr>
    </w:p>
    <w:p w14:paraId="03B47937" w14:textId="6312255F" w:rsidR="00105684" w:rsidRDefault="00105684" w:rsidP="00105684">
      <w:pPr>
        <w:pStyle w:val="Odstavecseseznamem"/>
        <w:numPr>
          <w:ilvl w:val="0"/>
          <w:numId w:val="2"/>
        </w:numPr>
        <w:jc w:val="both"/>
      </w:pPr>
      <w:r>
        <w:t xml:space="preserve">Jak uvádí příslušná komentářová literatura, </w:t>
      </w:r>
      <w:r w:rsidRPr="00105684">
        <w:t>platí</w:t>
      </w:r>
      <w:r>
        <w:t xml:space="preserve"> zde</w:t>
      </w:r>
      <w:r w:rsidRPr="00105684">
        <w:t xml:space="preserve">, že </w:t>
      </w:r>
      <w:r w:rsidRPr="00FD10A8">
        <w:rPr>
          <w:b/>
          <w:bCs/>
        </w:rPr>
        <w:t>pro splnění uložené povinnosti se nesmí jednat o taková opatření, která by zbavovala uživatele služby možnosti využívat oprávněného přístupu k dostupným informacím</w:t>
      </w:r>
      <w:r w:rsidRPr="00105684">
        <w:t xml:space="preserve"> (tj. musí být striktně cílená) </w:t>
      </w:r>
      <w:r w:rsidRPr="00FD10A8">
        <w:rPr>
          <w:b/>
          <w:bCs/>
        </w:rPr>
        <w:t>či nepřiměřeně omezovala svobodu podnikání</w:t>
      </w:r>
      <w:r w:rsidRPr="00105684">
        <w:t>, a to v souladu s principem poměřování dotčených základních práv</w:t>
      </w:r>
      <w:r>
        <w:t xml:space="preserve">. </w:t>
      </w:r>
      <w:r w:rsidRPr="00105684">
        <w:t xml:space="preserve">Splnění tohoto nároku nesmí být </w:t>
      </w:r>
      <w:r>
        <w:t xml:space="preserve">také </w:t>
      </w:r>
      <w:r w:rsidRPr="00105684">
        <w:t>nepoměrně nákladné ani nesmí vytvářet překážky právně dovolenému obchodu. Po „zprostředkovateli“ tak nelze požadovat, aby při plnění své zdržovací povinnosti vykonával nad svými zákazníky obecný a soustavný dohled, jenž by kupř. vyžadoval systematické analyzování veškerého přenášeného obsahu, jakož i shromažďování a identifikování IP adres uživatelů sítě internet, kteří neoprávněně</w:t>
      </w:r>
      <w:r>
        <w:rPr>
          <w:rFonts w:ascii="Segoe UI Symbol" w:hAnsi="Segoe UI Symbol" w:cs="Segoe UI Symbol"/>
        </w:rPr>
        <w:t xml:space="preserve"> </w:t>
      </w:r>
      <w:r w:rsidRPr="00105684">
        <w:t>sdílejí díla veřejnosti prostřednictvím této počítačové sítě.</w:t>
      </w:r>
    </w:p>
    <w:p w14:paraId="21BA19AD" w14:textId="77777777" w:rsidR="00EE5746" w:rsidRDefault="00EE5746" w:rsidP="00EE5746">
      <w:pPr>
        <w:pStyle w:val="Odstavecseseznamem"/>
      </w:pPr>
    </w:p>
    <w:p w14:paraId="4AE8D027" w14:textId="14F33B9A" w:rsidR="009960C9" w:rsidRDefault="00DA32BB" w:rsidP="00EE5746">
      <w:pPr>
        <w:pStyle w:val="Odstavecseseznamem"/>
        <w:numPr>
          <w:ilvl w:val="0"/>
          <w:numId w:val="2"/>
        </w:numPr>
        <w:jc w:val="both"/>
      </w:pPr>
      <w:r>
        <w:t xml:space="preserve">Je potřeba také upozornit na fakt, že </w:t>
      </w:r>
      <w:r w:rsidR="00650544">
        <w:t xml:space="preserve">český právní řád sice zná institut </w:t>
      </w:r>
      <w:r>
        <w:t xml:space="preserve">blokace </w:t>
      </w:r>
      <w:r w:rsidR="00650544">
        <w:t xml:space="preserve">nezákonného obsahu, nicméně pokud uvedeme </w:t>
      </w:r>
      <w:proofErr w:type="spellStart"/>
      <w:r w:rsidR="00650544">
        <w:t>příkladmo</w:t>
      </w:r>
      <w:proofErr w:type="spellEnd"/>
      <w:r w:rsidR="00650544">
        <w:t xml:space="preserve"> úpravu obsaženou v zákoně č. 186/2016 Sb., o hazardních hrách ve znění pozdějších předpisů</w:t>
      </w:r>
      <w:r w:rsidR="00465A0D">
        <w:t xml:space="preserve"> (dále „</w:t>
      </w:r>
      <w:r w:rsidR="00465A0D" w:rsidRPr="00465A0D">
        <w:rPr>
          <w:b/>
          <w:bCs/>
          <w:i/>
          <w:iCs/>
        </w:rPr>
        <w:t>zákon o hazardních hrách</w:t>
      </w:r>
      <w:r w:rsidR="00465A0D">
        <w:t>“)</w:t>
      </w:r>
      <w:r w:rsidR="00650544">
        <w:t xml:space="preserve">, poskytovatel služby přístupu k internetu provádí blokaci přístupu ke konkrétní webové stránce na základě rozhodnutí Ministerstva financí, blokované webové stránky jsou transparentně uvedeny ve veřejném seznamu a zákon o hazardních hrách obsahuje i mechanismus, jakým způsobem </w:t>
      </w:r>
      <w:r w:rsidR="00B16516">
        <w:t xml:space="preserve">je </w:t>
      </w:r>
      <w:r w:rsidR="00650544">
        <w:t xml:space="preserve">webová stránka z blokačního seznamu </w:t>
      </w:r>
      <w:r w:rsidR="00B16516">
        <w:t>odstraněna</w:t>
      </w:r>
      <w:r w:rsidR="00650544">
        <w:t xml:space="preserve">. Vámi </w:t>
      </w:r>
      <w:r w:rsidR="001C44F7">
        <w:t xml:space="preserve">uplatněný zvláštní nárok </w:t>
      </w:r>
      <w:proofErr w:type="spellStart"/>
      <w:r w:rsidR="001C44F7">
        <w:t>zápůrčí</w:t>
      </w:r>
      <w:proofErr w:type="spellEnd"/>
      <w:r w:rsidR="00650544">
        <w:t xml:space="preserve"> právo podle § 40 autorského zákona však nic takového neobsahuje</w:t>
      </w:r>
      <w:r w:rsidR="00D768CB">
        <w:t>,</w:t>
      </w:r>
      <w:r w:rsidR="00650544">
        <w:t xml:space="preserve"> a tedy i absence časového hlediska ukazuje, že se jedná o silně excesivní opatření, které nemá být využito pro tento konkrétní případ.  </w:t>
      </w:r>
    </w:p>
    <w:p w14:paraId="54DF27A0" w14:textId="77777777" w:rsidR="00105684" w:rsidRDefault="00105684" w:rsidP="00FD10A8">
      <w:pPr>
        <w:pStyle w:val="Odstavecseseznamem"/>
      </w:pPr>
    </w:p>
    <w:p w14:paraId="34C06B3F" w14:textId="49A008C5" w:rsidR="00105684" w:rsidRDefault="00105684" w:rsidP="00EE5746">
      <w:pPr>
        <w:pStyle w:val="Odstavecseseznamem"/>
        <w:numPr>
          <w:ilvl w:val="0"/>
          <w:numId w:val="2"/>
        </w:numPr>
        <w:jc w:val="both"/>
      </w:pPr>
      <w:r>
        <w:t xml:space="preserve">Paragraf 40 odst. 1 písm. f) autorského zákona má původ ve článku 8 odst. 3 </w:t>
      </w:r>
      <w:r w:rsidRPr="00FD10A8">
        <w:rPr>
          <w:b/>
          <w:bCs/>
          <w:i/>
          <w:iCs/>
        </w:rPr>
        <w:t>směrnice Evropského parlamentu a Rady č. 2001/29/ES, o harmonizaci určitých aspektů autorského práva a práv s ním souvisejících v informační společnosti</w:t>
      </w:r>
      <w:r>
        <w:t>. Příslušný recitál k tomuto ustanovení konstatuje, že</w:t>
      </w:r>
      <w:r w:rsidRPr="00CF6157">
        <w:t xml:space="preserve"> </w:t>
      </w:r>
      <w:r>
        <w:t>a</w:t>
      </w:r>
      <w:r w:rsidRPr="00CF6157">
        <w:t xml:space="preserve">niž jsou dotčeny jakékoliv jiné dostupné sankce a ochranná opatření, nositelé práv by z toho důvodu měli mít </w:t>
      </w:r>
      <w:r w:rsidRPr="00FD10A8">
        <w:rPr>
          <w:b/>
          <w:bCs/>
        </w:rPr>
        <w:t>možnost žádat o soudní zákaz činnosti proti zprostředkovateli</w:t>
      </w:r>
      <w:r w:rsidRPr="00CF6157">
        <w:t>, který v rámci sítě pro třetí stranu porušuje práva týkající se chráněného díla nebo jiného předmětu ochrany.</w:t>
      </w:r>
      <w:r>
        <w:t xml:space="preserve"> </w:t>
      </w:r>
      <w:r w:rsidRPr="00105684">
        <w:t>Podmínky a úpravy týkající se takových soudních zákazů by měly být ponechány na vnitrostátních právních předpisech členských států.</w:t>
      </w:r>
      <w:r>
        <w:t xml:space="preserve"> </w:t>
      </w:r>
      <w:r w:rsidRPr="00FD10A8">
        <w:rPr>
          <w:b/>
          <w:bCs/>
        </w:rPr>
        <w:t xml:space="preserve">V českém právním řádu však tato úprava soudních zákazů absentuje a tato právní nejistota, kterou je společnost </w:t>
      </w:r>
      <w:r w:rsidR="00F84734" w:rsidRPr="00F84734">
        <w:rPr>
          <w:b/>
          <w:bCs/>
          <w:highlight w:val="yellow"/>
        </w:rPr>
        <w:t>…….</w:t>
      </w:r>
      <w:r w:rsidRPr="00FD10A8">
        <w:rPr>
          <w:b/>
          <w:bCs/>
        </w:rPr>
        <w:t xml:space="preserve"> postavena nutností reagovat na tuto předžalobní výzvu, nemůže být připisovaná k její újmě. </w:t>
      </w:r>
    </w:p>
    <w:p w14:paraId="6086508B" w14:textId="77777777" w:rsidR="009960C9" w:rsidRDefault="009960C9" w:rsidP="009960C9">
      <w:pPr>
        <w:pStyle w:val="Odstavecseseznamem"/>
      </w:pPr>
    </w:p>
    <w:p w14:paraId="769F3AD2" w14:textId="77777777" w:rsidR="00CF6157" w:rsidRDefault="00CF6157" w:rsidP="00CF6157">
      <w:pPr>
        <w:jc w:val="both"/>
      </w:pPr>
    </w:p>
    <w:p w14:paraId="1BB48115" w14:textId="77777777" w:rsidR="00CF6157" w:rsidRDefault="00CF6157" w:rsidP="00CF6157">
      <w:pPr>
        <w:jc w:val="both"/>
      </w:pPr>
    </w:p>
    <w:p w14:paraId="45B3E738" w14:textId="5E8194FD" w:rsidR="00EE5746" w:rsidRPr="00EE5746" w:rsidRDefault="00EE5746" w:rsidP="00FD10A8">
      <w:pPr>
        <w:jc w:val="both"/>
      </w:pPr>
      <w:r>
        <w:lastRenderedPageBreak/>
        <w:t xml:space="preserve">Z výše uvedených důvodů </w:t>
      </w:r>
      <w:r w:rsidR="00105684">
        <w:t xml:space="preserve">nelze </w:t>
      </w:r>
      <w:r>
        <w:t xml:space="preserve">žádost Vašeho klienta o blokaci přístupu k dotčeným doménám považovat </w:t>
      </w:r>
      <w:r w:rsidR="00DA32BB">
        <w:t xml:space="preserve">i po prostudování přiloženého rozhodnutí Městského soudu v souladu s požadavky přiměřenosti </w:t>
      </w:r>
      <w:r w:rsidR="00FD10A8">
        <w:t>ve smyslu ustálené judikatury Evropského soudního dvora.</w:t>
      </w:r>
      <w:r w:rsidR="00DA32BB">
        <w:t xml:space="preserve"> </w:t>
      </w:r>
      <w:r w:rsidR="00DA32BB" w:rsidRPr="00FD10A8">
        <w:rPr>
          <w:b/>
          <w:bCs/>
        </w:rPr>
        <w:t>Vaše předžalobní výzva</w:t>
      </w:r>
      <w:r w:rsidRPr="00FD10A8">
        <w:rPr>
          <w:b/>
          <w:bCs/>
        </w:rPr>
        <w:t xml:space="preserve"> cílí na </w:t>
      </w:r>
      <w:r w:rsidR="00DA32BB" w:rsidRPr="00FD10A8">
        <w:rPr>
          <w:b/>
          <w:bCs/>
        </w:rPr>
        <w:t xml:space="preserve">excesivní </w:t>
      </w:r>
      <w:r w:rsidRPr="00FD10A8">
        <w:rPr>
          <w:b/>
          <w:bCs/>
        </w:rPr>
        <w:t xml:space="preserve">plošné znemožnění přístupu k webovým stránkám, </w:t>
      </w:r>
      <w:r w:rsidR="009960C9" w:rsidRPr="00FD10A8">
        <w:rPr>
          <w:b/>
          <w:bCs/>
        </w:rPr>
        <w:t xml:space="preserve">u kterých nelze </w:t>
      </w:r>
      <w:r w:rsidR="00FD10A8" w:rsidRPr="00FD10A8">
        <w:rPr>
          <w:b/>
          <w:bCs/>
        </w:rPr>
        <w:t xml:space="preserve">bez rozumné pochybnosti </w:t>
      </w:r>
      <w:proofErr w:type="gramStart"/>
      <w:r w:rsidR="009960C9" w:rsidRPr="00FD10A8">
        <w:rPr>
          <w:b/>
          <w:bCs/>
        </w:rPr>
        <w:t>říci</w:t>
      </w:r>
      <w:proofErr w:type="gramEnd"/>
      <w:r w:rsidR="009960C9" w:rsidRPr="00FD10A8">
        <w:rPr>
          <w:b/>
          <w:bCs/>
        </w:rPr>
        <w:t xml:space="preserve">, že výhradně poskytují nelegální obsah chráněný autorským právem, když zároveň </w:t>
      </w:r>
      <w:r w:rsidR="00FD10A8" w:rsidRPr="00FD10A8">
        <w:rPr>
          <w:b/>
          <w:bCs/>
        </w:rPr>
        <w:t xml:space="preserve">tyto webové stránky </w:t>
      </w:r>
      <w:r w:rsidR="009960C9" w:rsidRPr="00FD10A8">
        <w:rPr>
          <w:b/>
          <w:bCs/>
        </w:rPr>
        <w:t>obsahují mechanismus „</w:t>
      </w:r>
      <w:proofErr w:type="spellStart"/>
      <w:r w:rsidR="009960C9" w:rsidRPr="00FD10A8">
        <w:rPr>
          <w:b/>
          <w:bCs/>
        </w:rPr>
        <w:t>notice</w:t>
      </w:r>
      <w:proofErr w:type="spellEnd"/>
      <w:r w:rsidR="009960C9" w:rsidRPr="00FD10A8">
        <w:rPr>
          <w:b/>
          <w:bCs/>
        </w:rPr>
        <w:t xml:space="preserve"> and </w:t>
      </w:r>
      <w:proofErr w:type="spellStart"/>
      <w:r w:rsidR="009960C9" w:rsidRPr="00FD10A8">
        <w:rPr>
          <w:b/>
          <w:bCs/>
        </w:rPr>
        <w:t>take</w:t>
      </w:r>
      <w:proofErr w:type="spellEnd"/>
      <w:r w:rsidR="009960C9" w:rsidRPr="00FD10A8">
        <w:rPr>
          <w:b/>
          <w:bCs/>
        </w:rPr>
        <w:t xml:space="preserve"> </w:t>
      </w:r>
      <w:proofErr w:type="spellStart"/>
      <w:r w:rsidR="009960C9" w:rsidRPr="00FD10A8">
        <w:rPr>
          <w:b/>
          <w:bCs/>
        </w:rPr>
        <w:t>down</w:t>
      </w:r>
      <w:proofErr w:type="spellEnd"/>
      <w:r w:rsidR="009960C9" w:rsidRPr="00FD10A8">
        <w:rPr>
          <w:b/>
          <w:bCs/>
        </w:rPr>
        <w:t>“.</w:t>
      </w:r>
      <w:r w:rsidR="009960C9">
        <w:t xml:space="preserve"> </w:t>
      </w:r>
      <w:r w:rsidR="00DA32BB">
        <w:t xml:space="preserve">Doporučujeme Vám tedy obrátit se přímo na provozovatele dotčených webových stránek, případně na jiný subjekt, který </w:t>
      </w:r>
      <w:r w:rsidR="00FD10A8">
        <w:t xml:space="preserve">bude moci splnit Váš požadavek v souladu se zásadou přiměřenosti. Současně doporučujeme obrátit se na Ministerstvo kultury jako směrnice o harmonizaci určitých aspektů autorského práva a práv s ním souvisejících v informační společnosti, aby napravil absentující právní úpravu. </w:t>
      </w:r>
    </w:p>
    <w:p w14:paraId="40817529" w14:textId="77777777" w:rsidR="0080632E" w:rsidRDefault="0080632E" w:rsidP="0001432F"/>
    <w:p w14:paraId="54E162C8" w14:textId="77777777" w:rsidR="00CF6157" w:rsidRDefault="00CF6157" w:rsidP="0001432F"/>
    <w:p w14:paraId="0E023DF7" w14:textId="77777777" w:rsidR="00CF6157" w:rsidRDefault="00CF6157" w:rsidP="0001432F"/>
    <w:p w14:paraId="0760FFB2" w14:textId="63AF7020" w:rsidR="00CF6157" w:rsidRDefault="00CF6157" w:rsidP="00CF6157"/>
    <w:p w14:paraId="78AFAB48" w14:textId="77777777" w:rsidR="00CF6157" w:rsidRDefault="00CF6157" w:rsidP="0001432F"/>
    <w:p w14:paraId="273ABD2A" w14:textId="77777777" w:rsidR="0080632E" w:rsidRDefault="0080632E" w:rsidP="0080632E">
      <w:pPr>
        <w:pStyle w:val="Odstavecseseznamem"/>
      </w:pPr>
    </w:p>
    <w:p w14:paraId="66BBAEEF" w14:textId="77777777" w:rsidR="00F032EF" w:rsidRDefault="00F032EF" w:rsidP="00F032EF"/>
    <w:p w14:paraId="0BD01B37" w14:textId="77777777" w:rsidR="00F032EF" w:rsidRDefault="00F032EF" w:rsidP="00F032EF"/>
    <w:p w14:paraId="73FFF4BB" w14:textId="0553B328" w:rsidR="00CF6157" w:rsidRDefault="00CF6157" w:rsidP="00F032EF"/>
    <w:sectPr w:rsidR="00CF6157"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BBB34" w14:textId="77777777" w:rsidR="0023144F" w:rsidRDefault="0023144F" w:rsidP="00FD10A8">
      <w:r>
        <w:separator/>
      </w:r>
    </w:p>
  </w:endnote>
  <w:endnote w:type="continuationSeparator" w:id="0">
    <w:p w14:paraId="3C97E890" w14:textId="77777777" w:rsidR="0023144F" w:rsidRDefault="0023144F" w:rsidP="00FD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93241573"/>
      <w:docPartObj>
        <w:docPartGallery w:val="Page Numbers (Bottom of Page)"/>
        <w:docPartUnique/>
      </w:docPartObj>
    </w:sdtPr>
    <w:sdtContent>
      <w:p w14:paraId="6C97AFE7" w14:textId="587A1958" w:rsidR="00FD10A8" w:rsidRDefault="00FD10A8" w:rsidP="004D4CA7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ACE6F7B" w14:textId="77777777" w:rsidR="00FD10A8" w:rsidRDefault="00FD10A8" w:rsidP="00FD10A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2086680600"/>
      <w:docPartObj>
        <w:docPartGallery w:val="Page Numbers (Bottom of Page)"/>
        <w:docPartUnique/>
      </w:docPartObj>
    </w:sdtPr>
    <w:sdtContent>
      <w:p w14:paraId="56F2B78F" w14:textId="3949DE0F" w:rsidR="00FD10A8" w:rsidRDefault="00FD10A8" w:rsidP="004D4CA7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04AF5F96" w14:textId="77777777" w:rsidR="00FD10A8" w:rsidRDefault="00FD10A8" w:rsidP="00FD10A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E070C" w14:textId="77777777" w:rsidR="0023144F" w:rsidRDefault="0023144F" w:rsidP="00FD10A8">
      <w:r>
        <w:separator/>
      </w:r>
    </w:p>
  </w:footnote>
  <w:footnote w:type="continuationSeparator" w:id="0">
    <w:p w14:paraId="78838DDB" w14:textId="77777777" w:rsidR="0023144F" w:rsidRDefault="0023144F" w:rsidP="00FD1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B072F"/>
    <w:multiLevelType w:val="hybridMultilevel"/>
    <w:tmpl w:val="72A482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05BEA"/>
    <w:multiLevelType w:val="hybridMultilevel"/>
    <w:tmpl w:val="72A482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3E01"/>
    <w:multiLevelType w:val="hybridMultilevel"/>
    <w:tmpl w:val="72A48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D385B"/>
    <w:multiLevelType w:val="hybridMultilevel"/>
    <w:tmpl w:val="981254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099301">
    <w:abstractNumId w:val="3"/>
  </w:num>
  <w:num w:numId="2" w16cid:durableId="1915972860">
    <w:abstractNumId w:val="2"/>
  </w:num>
  <w:num w:numId="3" w16cid:durableId="317660180">
    <w:abstractNumId w:val="1"/>
  </w:num>
  <w:num w:numId="4" w16cid:durableId="161142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14"/>
    <w:rsid w:val="0001432F"/>
    <w:rsid w:val="00092572"/>
    <w:rsid w:val="000D33AF"/>
    <w:rsid w:val="000E2048"/>
    <w:rsid w:val="00105684"/>
    <w:rsid w:val="00155D63"/>
    <w:rsid w:val="001C44F7"/>
    <w:rsid w:val="0023144F"/>
    <w:rsid w:val="00267854"/>
    <w:rsid w:val="002B7B94"/>
    <w:rsid w:val="002D3C87"/>
    <w:rsid w:val="004005E3"/>
    <w:rsid w:val="00465A0D"/>
    <w:rsid w:val="00650544"/>
    <w:rsid w:val="00775C14"/>
    <w:rsid w:val="0080632E"/>
    <w:rsid w:val="009960C9"/>
    <w:rsid w:val="00A2713C"/>
    <w:rsid w:val="00A4768C"/>
    <w:rsid w:val="00B16516"/>
    <w:rsid w:val="00C53498"/>
    <w:rsid w:val="00C86D57"/>
    <w:rsid w:val="00CB74C2"/>
    <w:rsid w:val="00CF6157"/>
    <w:rsid w:val="00D178BC"/>
    <w:rsid w:val="00D768CB"/>
    <w:rsid w:val="00DA32BB"/>
    <w:rsid w:val="00EE5746"/>
    <w:rsid w:val="00F032EF"/>
    <w:rsid w:val="00F84734"/>
    <w:rsid w:val="00F977A9"/>
    <w:rsid w:val="00FD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B5D9"/>
  <w15:chartTrackingRefBased/>
  <w15:docId w15:val="{E822CB8C-3E03-9144-9055-FC523166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5E3"/>
  </w:style>
  <w:style w:type="paragraph" w:styleId="Nadpis1">
    <w:name w:val="heading 1"/>
    <w:basedOn w:val="Normln"/>
    <w:next w:val="Normln"/>
    <w:link w:val="Nadpis1Char"/>
    <w:uiPriority w:val="9"/>
    <w:qFormat/>
    <w:rsid w:val="00775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5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5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C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C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C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C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5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5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5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C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C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C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C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C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C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5C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5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5C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5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5C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5C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5C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5C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5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5C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5C1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005E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05E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005E3"/>
    <w:rPr>
      <w:color w:val="96607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D33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3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3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3A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3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3A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C44F7"/>
  </w:style>
  <w:style w:type="paragraph" w:styleId="Zpat">
    <w:name w:val="footer"/>
    <w:basedOn w:val="Normln"/>
    <w:link w:val="ZpatChar"/>
    <w:uiPriority w:val="99"/>
    <w:unhideWhenUsed/>
    <w:rsid w:val="00FD10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10A8"/>
  </w:style>
  <w:style w:type="character" w:styleId="slostrnky">
    <w:name w:val="page number"/>
    <w:basedOn w:val="Standardnpsmoodstavce"/>
    <w:uiPriority w:val="99"/>
    <w:semiHidden/>
    <w:unhideWhenUsed/>
    <w:rsid w:val="00FD1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edujteto.cz/" TargetMode="External"/><Relationship Id="rId13" Type="http://schemas.openxmlformats.org/officeDocument/2006/relationships/hyperlink" Target="https://datoid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share.cz/" TargetMode="External"/><Relationship Id="rId12" Type="http://schemas.openxmlformats.org/officeDocument/2006/relationships/hyperlink" Target="https://www.edisk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stshare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rehrajt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dilej.cz/" TargetMode="External"/><Relationship Id="rId14" Type="http://schemas.openxmlformats.org/officeDocument/2006/relationships/hyperlink" Target="https://www.hellsp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Monika Rejzková</cp:lastModifiedBy>
  <cp:revision>3</cp:revision>
  <dcterms:created xsi:type="dcterms:W3CDTF">2024-12-04T06:33:00Z</dcterms:created>
  <dcterms:modified xsi:type="dcterms:W3CDTF">2024-12-06T15:42:00Z</dcterms:modified>
</cp:coreProperties>
</file>