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</w:rPr>
      </w:pPr>
      <w:r>
        <w:rPr>
          <w:b/>
        </w:rPr>
        <w:t>I.</w:t>
      </w:r>
    </w:p>
    <w:p>
      <w:pPr>
        <w:jc w:val="center"/>
        <w:rPr>
          <w:b/>
        </w:rPr>
      </w:pPr>
      <w:r>
        <w:rPr>
          <w:b/>
        </w:rPr>
        <w:t>Předkládací zpráva</w:t>
      </w:r>
    </w:p>
    <w:p/>
    <w:p>
      <w:pPr>
        <w:ind w:firstLine="708"/>
        <w:jc w:val="both"/>
      </w:pP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</w:rPr>
      </w:pPr>
      <w:r>
        <w:rPr>
          <w:bCs/>
        </w:rPr>
        <w:t>Český telekomunikační úřad (dále jen „ČTÚ“) předkládá materiál „Návrh vyhlášky, kterou se mění vyhláška č. 360/2010 Sb., kterou se stanoví vzor elektronického formuláře návrhu na rozhodnutí sporu o povinnosti k peněžitému plnění a technické náležitosti jeho užívání, ve znění vyhlášky č. 180/2017 Sb.“. ČTÚ je zmocněn k vydání této vyhlášky, kterou se provádí § 129 odst. 2 zákona č. 127/2005 Sb., o elektronických komunikacích a o změně některých souvisejících zákonů (zákon o elektronických komunikacích), ve znění pozdějších předpisů, podle § 150 odst. 5 tohoto zákona.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Cs/>
        </w:rPr>
      </w:pPr>
      <w:r>
        <w:rPr>
          <w:bCs/>
        </w:rPr>
        <w:t>Návrh vyhlášky je předkládán v souvislosti s probíhající digitalizací orgánů veřejné moci a implementací informačního systému veřejné správy (tzv. samoobslužného portálu), přičemž je potřeba, aby elektronický formulář, jehož vzor a technické náležitosti jeho užívání stanoví vyhláška č. 360/2010 Sb. odpovídal požadavkům zákona č. 12/2020 Sb. Ponechání současného stavu (nulové varianty) by současně znamenalo nenaplnění požadavků kladených zákonem č. 12/2020 Sb. podzákonným předpisem (vyhláškou), což je zcela nežádoucí.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Cs/>
        </w:rPr>
      </w:pPr>
      <w:r>
        <w:rPr>
          <w:bCs/>
        </w:rPr>
        <w:t xml:space="preserve">Navrhovaná změna vyhlášky č. 360/2010 Sb. je s ohledem na předmět a rozsah (změna parametrů formuláře a technických náležitostí jeho využívání, např. změna možných formátů formuláře a jeho příloh) svým charakterem pouze parametrickou změnou ve smyslu čl. 3.8 písm. g) Obecných zásad pro hodnocení dopadů regulace (RIA). 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Cs/>
        </w:rPr>
      </w:pPr>
      <w:r>
        <w:rPr>
          <w:bCs/>
        </w:rPr>
        <w:t>Podle čl. 5.7 Obecných zásad pro hodnocení dopadů regulace (RIA) a v souladu s čl. 76 odst. 2 Legislativních pravidel vlády požádal ČTÚ předsedu Legislativní Rady vlády o udělení výjimky z provedení RIA k předmětné vyhlášce ČTÚ dopisem předsedy Rady ČTÚ ze dne 29. srpna 2024, čj. ČTÚ</w:t>
      </w:r>
      <w:r>
        <w:rPr>
          <w:bCs/>
        </w:rPr>
        <w:noBreakHyphen/>
        <w:t>34 230/2024-606. Předseda Legislativní rady vlády udělil výjimku z provedení RIA dopisem ze dne 2. září 2024, čj. 51761-2024-UVCR.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>
      <w:pPr>
        <w:ind w:firstLine="708"/>
        <w:jc w:val="both"/>
        <w:rPr>
          <w:bCs/>
        </w:rPr>
      </w:pPr>
      <w:r>
        <w:rPr>
          <w:bCs/>
        </w:rPr>
        <w:t xml:space="preserve">Návrh vyhlášky byl po projednání Radou ČTÚ dne 30. října 2024 rozeslán do meziresortního připomínkového řízení vložením materiálu do systému </w:t>
      </w:r>
      <w:proofErr w:type="spellStart"/>
      <w:r>
        <w:rPr>
          <w:bCs/>
        </w:rPr>
        <w:t>eKLEP</w:t>
      </w:r>
      <w:proofErr w:type="spellEnd"/>
      <w:r>
        <w:rPr>
          <w:bCs/>
        </w:rPr>
        <w:t xml:space="preserve"> dne 31. </w:t>
      </w:r>
      <w:bookmarkStart w:id="0" w:name="_GoBack"/>
      <w:bookmarkEnd w:id="0"/>
      <w:r>
        <w:rPr>
          <w:bCs/>
        </w:rPr>
        <w:t>října 2024. K materiálu bylo uplatněno celkem XX připomínek.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Cs/>
        </w:rPr>
      </w:pPr>
      <w:r>
        <w:rPr>
          <w:bCs/>
        </w:rPr>
        <w:t>Návrh vyhlášky upravený na základě výsledků meziresortního připomínkového řízení byl projednán Radou ČTÚ dne XX. XX.</w:t>
      </w:r>
      <w:r>
        <w:t xml:space="preserve"> 2024</w:t>
      </w:r>
      <w:r>
        <w:rPr>
          <w:bCs/>
        </w:rPr>
        <w:t xml:space="preserve">. </w:t>
      </w:r>
    </w:p>
    <w:p>
      <w:pPr>
        <w:jc w:val="both"/>
        <w:rPr>
          <w:bCs/>
        </w:rPr>
      </w:pPr>
    </w:p>
    <w:p>
      <w:pPr>
        <w:ind w:firstLine="708"/>
        <w:jc w:val="both"/>
        <w:rPr>
          <w:i/>
        </w:rPr>
      </w:pPr>
      <w:r>
        <w:rPr>
          <w:bCs/>
        </w:rPr>
        <w:t xml:space="preserve">Vypořádání všech připomínek je uvedeno v části V. materiálu. Materiál je ve vztahu k zástupcům oslovených resortů předkládán </w:t>
      </w:r>
      <w:r>
        <w:rPr>
          <w:bCs/>
          <w:i/>
          <w:iCs/>
        </w:rPr>
        <w:t>s rozporem</w:t>
      </w:r>
      <w:r>
        <w:rPr>
          <w:bCs/>
        </w:rPr>
        <w:t>/</w:t>
      </w:r>
      <w:r>
        <w:rPr>
          <w:i/>
        </w:rPr>
        <w:t>bez rozporu.</w:t>
      </w:r>
    </w:p>
    <w:p>
      <w:pPr>
        <w:jc w:val="both"/>
        <w:rPr>
          <w:bCs/>
          <w:i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B6ADE"/>
    <w:multiLevelType w:val="hybridMultilevel"/>
    <w:tmpl w:val="6FF81488"/>
    <w:lvl w:ilvl="0" w:tplc="59046F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0A1EF-6CBC-475D-B094-15B7141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link w:val="Zkladntex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33E7C73C078444AAE6D69EE41E02C6" ma:contentTypeVersion="10" ma:contentTypeDescription="Vytvoří nový dokument" ma:contentTypeScope="" ma:versionID="4c131216ebf2ba6a74c19e72caa0403d">
  <xsd:schema xmlns:xsd="http://www.w3.org/2001/XMLSchema" xmlns:xs="http://www.w3.org/2001/XMLSchema" xmlns:p="http://schemas.microsoft.com/office/2006/metadata/properties" xmlns:ns3="9fddb97b-71b7-4a9a-8a00-cbc0053eaee5" xmlns:ns4="8af5ae1c-e0f0-4e0a-aa71-c43ebd585258" targetNamespace="http://schemas.microsoft.com/office/2006/metadata/properties" ma:root="true" ma:fieldsID="ead0d5b63ed21421e2d72aa66f906779" ns3:_="" ns4:_="">
    <xsd:import namespace="9fddb97b-71b7-4a9a-8a00-cbc0053eaee5"/>
    <xsd:import namespace="8af5ae1c-e0f0-4e0a-aa71-c43ebd585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b97b-71b7-4a9a-8a00-cbc0053ea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1c-e0f0-4e0a-aa71-c43ebd585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7E4C2-CA97-4ADA-9AD4-33A6C358D8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F4101-9D77-496E-9718-609C0BC89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04486-EA9F-43E0-8511-60BB32572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db97b-71b7-4a9a-8a00-cbc0053eaee5"/>
    <ds:schemaRef ds:uri="8af5ae1c-e0f0-4e0a-aa71-c43ebd585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Předkládací zpráva</vt:lpstr>
      <vt:lpstr>Předkládací zpráva</vt:lpstr>
    </vt:vector>
  </TitlesOfParts>
  <Company>ČTÚ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Předkládací zpráva</dc:title>
  <dc:subject/>
  <dc:creator>JADRNÝ Vratislav</dc:creator>
  <cp:keywords/>
  <dc:description/>
  <cp:lastModifiedBy>Vratislav Jadrný </cp:lastModifiedBy>
  <cp:revision>3</cp:revision>
  <cp:lastPrinted>2023-08-03T06:10:00Z</cp:lastPrinted>
  <dcterms:created xsi:type="dcterms:W3CDTF">2024-10-30T09:33:00Z</dcterms:created>
  <dcterms:modified xsi:type="dcterms:W3CDTF">2024-10-31T09:04:00Z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0x0101003433E7C73C078444AAE6D69EE41E02C6</vt:lpwstr>
  </property>
</Properties>
</file>