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7EC5" w14:textId="6845BA1C" w:rsidR="002C20CF" w:rsidRPr="00ED337B" w:rsidRDefault="00660D1F" w:rsidP="000654F6">
      <w:pPr>
        <w:pStyle w:val="K-Nadpis1"/>
        <w:spacing w:line="276" w:lineRule="auto"/>
      </w:pPr>
      <w:r w:rsidRPr="00660D1F">
        <w:t>2.2 Snižování spotřeby energie</w:t>
      </w:r>
      <w:r w:rsidR="00154B73" w:rsidRPr="00ED337B">
        <w:t xml:space="preserve"> (M</w:t>
      </w:r>
      <w:r>
        <w:t>PO</w:t>
      </w:r>
      <w:r w:rsidR="00154B73" w:rsidRPr="00ED337B">
        <w:t>)</w:t>
      </w:r>
      <w:r w:rsidR="002C20CF" w:rsidRPr="00ED337B">
        <w:t xml:space="preserve"> </w:t>
      </w:r>
    </w:p>
    <w:p w14:paraId="00F5B6F2" w14:textId="570D07A4" w:rsidR="002C20CF" w:rsidRPr="00ED337B" w:rsidRDefault="002C20CF" w:rsidP="000654F6">
      <w:pPr>
        <w:pStyle w:val="Nadpis2"/>
        <w:spacing w:line="276" w:lineRule="auto"/>
        <w:rPr>
          <w:rFonts w:ascii="Times New Roman" w:hAnsi="Times New Roman" w:cs="Times New Roman"/>
          <w:sz w:val="28"/>
          <w:szCs w:val="28"/>
        </w:rPr>
      </w:pPr>
      <w:r w:rsidRPr="00ED337B">
        <w:rPr>
          <w:rStyle w:val="K-Nadpis2Char"/>
          <w:b/>
        </w:rPr>
        <w:t xml:space="preserve">1. </w:t>
      </w:r>
      <w:r w:rsidR="00EF374D" w:rsidRPr="00ED337B">
        <w:rPr>
          <w:rStyle w:val="K-Nadpis2Char"/>
          <w:b/>
        </w:rPr>
        <w:t>Popis</w:t>
      </w:r>
      <w:r w:rsidRPr="00ED337B">
        <w:rPr>
          <w:rStyle w:val="K-Nadpis2Char"/>
          <w:b/>
        </w:rPr>
        <w:t xml:space="preserve"> </w:t>
      </w:r>
      <w:r w:rsidR="00EF374D" w:rsidRPr="00ED337B">
        <w:rPr>
          <w:rStyle w:val="K-Nadpis2Char"/>
          <w:b/>
        </w:rPr>
        <w:t>komponenty</w:t>
      </w:r>
    </w:p>
    <w:p w14:paraId="3288F2A0" w14:textId="41D1CDD7" w:rsidR="002C20CF" w:rsidRPr="00A87B13" w:rsidRDefault="00EF374D" w:rsidP="000654F6">
      <w:pPr>
        <w:pStyle w:val="Default"/>
        <w:pBdr>
          <w:top w:val="single" w:sz="4" w:space="1" w:color="auto"/>
          <w:left w:val="single" w:sz="4" w:space="4" w:color="auto"/>
          <w:bottom w:val="single" w:sz="4" w:space="1" w:color="auto"/>
          <w:right w:val="single" w:sz="4" w:space="4" w:color="auto"/>
        </w:pBdr>
        <w:spacing w:after="120" w:line="276" w:lineRule="auto"/>
        <w:jc w:val="both"/>
        <w:rPr>
          <w:b/>
          <w:bCs/>
          <w:sz w:val="23"/>
          <w:szCs w:val="23"/>
        </w:rPr>
      </w:pPr>
      <w:r w:rsidRPr="00A87B13">
        <w:rPr>
          <w:rStyle w:val="K-TabulkaChar"/>
        </w:rPr>
        <w:t xml:space="preserve">Souhrnný box </w:t>
      </w:r>
      <w:r w:rsidR="0091766D" w:rsidRPr="00A87B13">
        <w:rPr>
          <w:rStyle w:val="K-TabulkaChar"/>
        </w:rPr>
        <w:t xml:space="preserve">pro </w:t>
      </w:r>
      <w:r w:rsidR="00154B73" w:rsidRPr="00A87B13">
        <w:rPr>
          <w:rStyle w:val="K-TabulkaChar"/>
        </w:rPr>
        <w:t xml:space="preserve">komponentu </w:t>
      </w:r>
      <w:r w:rsidR="00660D1F" w:rsidRPr="00660D1F">
        <w:rPr>
          <w:rStyle w:val="K-TabulkaChar"/>
        </w:rPr>
        <w:t>2.2 Snižování spotřeby energie (MPO)</w:t>
      </w:r>
      <w:r w:rsidR="002C20CF" w:rsidRPr="00A87B13">
        <w:rPr>
          <w:rStyle w:val="K-TabulkaChar"/>
        </w:rPr>
        <w:t xml:space="preserve"> </w:t>
      </w:r>
    </w:p>
    <w:p w14:paraId="4AD0A2FD" w14:textId="28D28F4B" w:rsidR="00EF374D" w:rsidRPr="002E19BA" w:rsidRDefault="00EF374D" w:rsidP="000654F6">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Pr>
      </w:pPr>
      <w:r w:rsidRPr="002E19BA">
        <w:rPr>
          <w:rStyle w:val="K-TextChar"/>
          <w:b/>
        </w:rPr>
        <w:t>Oblast politiky/obor zájmu:</w:t>
      </w:r>
      <w:r w:rsidR="0015052B">
        <w:rPr>
          <w:rStyle w:val="K-TextChar"/>
          <w:b/>
        </w:rPr>
        <w:t xml:space="preserve"> </w:t>
      </w:r>
    </w:p>
    <w:p w14:paraId="28A98CA9" w14:textId="30CFF016" w:rsidR="00B159C9" w:rsidRDefault="00EF374D" w:rsidP="000654F6">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b/>
        </w:rPr>
      </w:pPr>
      <w:r w:rsidRPr="00095EBD">
        <w:rPr>
          <w:rStyle w:val="K-TextChar"/>
          <w:b/>
        </w:rPr>
        <w:t>Cíl:</w:t>
      </w:r>
      <w:r w:rsidR="00095EBD" w:rsidRPr="00095EBD">
        <w:rPr>
          <w:rStyle w:val="K-TextChar"/>
          <w:b/>
        </w:rPr>
        <w:t xml:space="preserve"> </w:t>
      </w:r>
    </w:p>
    <w:p w14:paraId="36D9F742" w14:textId="2FA00340" w:rsidR="00B159C9" w:rsidRDefault="00B159C9" w:rsidP="000654F6">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b/>
        </w:rPr>
      </w:pPr>
      <w:r>
        <w:rPr>
          <w:rStyle w:val="K-TextChar"/>
          <w:b/>
        </w:rPr>
        <w:t>Zvyšování energetické účinnosti národního hospodářství.</w:t>
      </w:r>
    </w:p>
    <w:p w14:paraId="4109ACF6" w14:textId="5788F423" w:rsidR="00EF374D" w:rsidRPr="00B159C9" w:rsidRDefault="00B159C9" w:rsidP="000654F6">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Pr>
      </w:pPr>
      <w:r w:rsidRPr="00B159C9">
        <w:rPr>
          <w:rStyle w:val="K-TextChar"/>
        </w:rPr>
        <w:t>Zvyšování energetické účinnosti prostřednictvím renovací budov a modernizací veřejného osvětlení je plně v souladu s celkovým kontextem obnovy ekonomiky a naplňuje i požadavek na realizaci tzv. zelených investic. Zvyšování energetické účinnosti přímo ovlivňuje transformaci energetického sektoru, má přímý pozitivní vliv na kvalitu životního prostředí, rozvoj stavebnictví, na dopravu, na úroveň provozních nákladů ve veřejném sektoru, v podnikatelském sektoru i v sektoru bydlení a souvisí s dalšími aspekty v rámci národního hospodářství.</w:t>
      </w:r>
      <w:r w:rsidR="00A87B13" w:rsidRPr="00B159C9">
        <w:rPr>
          <w:rStyle w:val="K-TextChar"/>
        </w:rPr>
        <w:t xml:space="preserve"> </w:t>
      </w:r>
    </w:p>
    <w:p w14:paraId="2B3D262C" w14:textId="343A4C8B" w:rsidR="00EF374D" w:rsidRPr="00095EBD" w:rsidRDefault="00EF374D" w:rsidP="000654F6">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b/>
        </w:rPr>
      </w:pPr>
      <w:r w:rsidRPr="00095EBD">
        <w:rPr>
          <w:rStyle w:val="K-TextChar"/>
          <w:b/>
        </w:rPr>
        <w:t>Reformy a/nebo investice</w:t>
      </w:r>
      <w:r w:rsidRPr="00095EBD">
        <w:rPr>
          <w:rStyle w:val="K-TextChar"/>
          <w:b/>
          <w:vertAlign w:val="superscript"/>
        </w:rPr>
        <w:footnoteReference w:id="1"/>
      </w:r>
      <w:r w:rsidRPr="00095EBD">
        <w:rPr>
          <w:rStyle w:val="K-TextChar"/>
          <w:b/>
        </w:rPr>
        <w:t>:</w:t>
      </w:r>
      <w:r w:rsidR="00095EBD" w:rsidRPr="00095EBD">
        <w:rPr>
          <w:rStyle w:val="K-TextChar"/>
          <w:b/>
        </w:rPr>
        <w:t xml:space="preserve"> </w:t>
      </w:r>
    </w:p>
    <w:p w14:paraId="2A70F662" w14:textId="77777777" w:rsidR="00B159C9" w:rsidRPr="00B159C9" w:rsidRDefault="00B159C9" w:rsidP="000654F6">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Pr>
      </w:pPr>
      <w:r w:rsidRPr="00B159C9">
        <w:rPr>
          <w:rStyle w:val="K-TextChar"/>
        </w:rPr>
        <w:t>1</w:t>
      </w:r>
      <w:r w:rsidRPr="00B159C9">
        <w:rPr>
          <w:rStyle w:val="K-TextChar"/>
        </w:rPr>
        <w:tab/>
        <w:t>Podpora přípravné fáze projektů zvyšování energetické účinnosti ve státním a veřejném sektoru</w:t>
      </w:r>
    </w:p>
    <w:p w14:paraId="4AA8CC05" w14:textId="301FA74D" w:rsidR="00B159C9" w:rsidRPr="00B159C9" w:rsidRDefault="00B159C9" w:rsidP="000654F6">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Pr>
      </w:pPr>
      <w:r w:rsidRPr="00B159C9">
        <w:rPr>
          <w:rStyle w:val="K-TextChar"/>
        </w:rPr>
        <w:t>2</w:t>
      </w:r>
      <w:r w:rsidRPr="00B159C9">
        <w:rPr>
          <w:rStyle w:val="K-TextChar"/>
        </w:rPr>
        <w:tab/>
        <w:t>Navozující realizace opatření ke snížení energetické náročnosti budov státu</w:t>
      </w:r>
    </w:p>
    <w:p w14:paraId="05B94530" w14:textId="4962128F" w:rsidR="00B159C9" w:rsidRDefault="00B159C9" w:rsidP="000654F6">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Pr>
      </w:pPr>
      <w:r w:rsidRPr="00B159C9">
        <w:rPr>
          <w:rStyle w:val="K-TextChar"/>
        </w:rPr>
        <w:t>3</w:t>
      </w:r>
      <w:r w:rsidRPr="00B159C9">
        <w:rPr>
          <w:rStyle w:val="K-TextChar"/>
        </w:rPr>
        <w:tab/>
        <w:t>Navozující realizace projektů zvýšení energetické účinnosti systémů veřejného osvětlení</w:t>
      </w:r>
    </w:p>
    <w:p w14:paraId="6423CF6C" w14:textId="3B972E16" w:rsidR="002E19BA" w:rsidRPr="002E19BA" w:rsidRDefault="00EF374D" w:rsidP="000654F6">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Pr>
      </w:pPr>
      <w:r w:rsidRPr="002E19BA">
        <w:rPr>
          <w:rStyle w:val="K-TextChar"/>
          <w:b/>
        </w:rPr>
        <w:t>Odhadované náklad</w:t>
      </w:r>
      <w:r w:rsidR="00A87B13" w:rsidRPr="002E19BA">
        <w:rPr>
          <w:rStyle w:val="K-TextChar"/>
          <w:b/>
        </w:rPr>
        <w:t>y</w:t>
      </w:r>
      <w:r w:rsidRPr="002E19BA">
        <w:rPr>
          <w:rStyle w:val="K-TextChar"/>
          <w:b/>
        </w:rPr>
        <w:t>:</w:t>
      </w:r>
      <w:r w:rsidR="002C20CF" w:rsidRPr="002E19BA">
        <w:rPr>
          <w:rStyle w:val="K-TextChar"/>
          <w:b/>
        </w:rPr>
        <w:t xml:space="preserve"> </w:t>
      </w:r>
    </w:p>
    <w:p w14:paraId="2E393396" w14:textId="77777777" w:rsidR="00B159C9" w:rsidRPr="00B159C9" w:rsidRDefault="00B159C9" w:rsidP="000654F6">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Pr>
      </w:pPr>
      <w:r w:rsidRPr="00B159C9">
        <w:rPr>
          <w:rStyle w:val="K-TextChar"/>
        </w:rPr>
        <w:t>ad 2. Odhad v objemu 3,5 mld. Kč</w:t>
      </w:r>
    </w:p>
    <w:p w14:paraId="70F6336C" w14:textId="77777777" w:rsidR="00B159C9" w:rsidRDefault="00B159C9" w:rsidP="000654F6">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Pr>
      </w:pPr>
      <w:r w:rsidRPr="00B159C9">
        <w:rPr>
          <w:rStyle w:val="K-TextChar"/>
        </w:rPr>
        <w:t>ad 3. Odhad v objemu 2,5 mld. Kč</w:t>
      </w:r>
    </w:p>
    <w:p w14:paraId="224BC15D" w14:textId="30CD673B" w:rsidR="0015052B" w:rsidRPr="0015052B" w:rsidRDefault="00B159C9" w:rsidP="63429056">
      <w:pPr>
        <w:pStyle w:val="Default"/>
        <w:pBdr>
          <w:top w:val="single" w:sz="4" w:space="1" w:color="auto"/>
          <w:left w:val="single" w:sz="4" w:space="4" w:color="auto"/>
          <w:bottom w:val="single" w:sz="4" w:space="1" w:color="auto"/>
          <w:right w:val="single" w:sz="4" w:space="4" w:color="auto"/>
        </w:pBdr>
        <w:spacing w:after="120" w:line="276" w:lineRule="auto"/>
        <w:jc w:val="both"/>
        <w:rPr>
          <w:sz w:val="23"/>
          <w:szCs w:val="23"/>
        </w:rPr>
      </w:pPr>
      <w:r w:rsidRPr="63429056">
        <w:rPr>
          <w:rStyle w:val="K-TextChar"/>
        </w:rPr>
        <w:t xml:space="preserve">V průběhu roku 2020 nelze plánovat využití žádných prostředků z procesních důvodů (schválení Národního plánu obnovy). V průběhu následujících let dojde díky komplexnosti podpory (příprava + realizace) k </w:t>
      </w:r>
      <w:proofErr w:type="spellStart"/>
      <w:r w:rsidRPr="63429056">
        <w:rPr>
          <w:rStyle w:val="K-TextChar"/>
        </w:rPr>
        <w:t>zazávazkování</w:t>
      </w:r>
      <w:proofErr w:type="spellEnd"/>
      <w:r w:rsidRPr="63429056">
        <w:rPr>
          <w:rStyle w:val="K-TextChar"/>
        </w:rPr>
        <w:t xml:space="preserve"> prostředků do konce roku 2023 a ke kontinuálnímu a pravidelnému čerpání prostředků v letech 2021–2026</w:t>
      </w:r>
      <w:r w:rsidR="002E19BA" w:rsidRPr="63429056">
        <w:rPr>
          <w:rStyle w:val="K-TextChar"/>
        </w:rPr>
        <w:t>.</w:t>
      </w:r>
    </w:p>
    <w:p w14:paraId="3A656097" w14:textId="4F1E306A" w:rsidR="00B159C9" w:rsidRPr="00B159C9" w:rsidRDefault="0015052B" w:rsidP="00A6430F">
      <w:pPr>
        <w:pStyle w:val="K-Nadpis3"/>
        <w:spacing w:line="276" w:lineRule="auto"/>
        <w:rPr>
          <w:rFonts w:eastAsiaTheme="minorEastAsia"/>
          <w:b w:val="0"/>
          <w:color w:val="auto"/>
          <w:sz w:val="23"/>
        </w:rPr>
      </w:pPr>
      <w:r w:rsidRPr="000C0598">
        <w:t xml:space="preserve">a) </w:t>
      </w:r>
      <w:r w:rsidR="00095EBD">
        <w:t>Detail</w:t>
      </w:r>
      <w:r>
        <w:t xml:space="preserve"> komponenty</w:t>
      </w:r>
      <w:r w:rsidR="00A6430F">
        <w:t xml:space="preserve"> </w:t>
      </w:r>
      <w:r w:rsidR="00A6430F">
        <w:rPr>
          <w:rFonts w:eastAsiaTheme="minorEastAsia"/>
          <w:b w:val="0"/>
          <w:color w:val="auto"/>
          <w:sz w:val="23"/>
        </w:rPr>
        <w:t>Dop</w:t>
      </w:r>
      <w:r w:rsidR="00B159C9" w:rsidRPr="63429056">
        <w:rPr>
          <w:rFonts w:eastAsiaTheme="minorEastAsia"/>
          <w:b w:val="0"/>
          <w:color w:val="auto"/>
          <w:sz w:val="23"/>
        </w:rPr>
        <w:t xml:space="preserve">lnění v rámci komponenty bude řešeno nasměrováním příslušných finančních prostředků do oblasti uvedených reforem/investic. Výhodou této komponenty je, že oblasti reforem/investic je možné efektivně administrovat prostřednictvím stávajícího nástroje, kterým je Státní program na podporu úspor energie (EFEKT II) a jeho nástupnický program, jehož programová dokumentace bude schvalována v roce 2021 na období 2022–2027 (dále jen „Program“). Výhody využití tohoto nástroje spočívají v tom, že reformy/investice navržené v této komponentě jsou v určité formě z tohoto Programu podporovány, příp. nejsou prozatím komplexně uchopeny v rámci podpory v ČR a není s nimi v krátkodobém horizontu uvažováno, a tudíž je možné efektivně nové oblasti do Programu zakomponovat, aniž by došlo k překryvu podpor. </w:t>
      </w:r>
    </w:p>
    <w:p w14:paraId="5E375752" w14:textId="41F677CA" w:rsidR="00B159C9" w:rsidRPr="00B159C9" w:rsidRDefault="00B159C9" w:rsidP="63429056">
      <w:pPr>
        <w:pStyle w:val="Nadpis2"/>
        <w:spacing w:line="276" w:lineRule="auto"/>
        <w:jc w:val="both"/>
        <w:rPr>
          <w:rFonts w:ascii="Times New Roman" w:eastAsiaTheme="minorEastAsia" w:hAnsi="Times New Roman" w:cs="Times New Roman"/>
          <w:b w:val="0"/>
          <w:color w:val="auto"/>
          <w:sz w:val="23"/>
          <w:szCs w:val="23"/>
        </w:rPr>
      </w:pPr>
      <w:r w:rsidRPr="63429056">
        <w:rPr>
          <w:rFonts w:ascii="Times New Roman" w:eastAsiaTheme="minorEastAsia" w:hAnsi="Times New Roman" w:cs="Times New Roman"/>
          <w:b w:val="0"/>
          <w:color w:val="auto"/>
          <w:sz w:val="23"/>
          <w:szCs w:val="23"/>
        </w:rPr>
        <w:lastRenderedPageBreak/>
        <w:t>Po praktické stránce by se jednalo o posílení zdrojů stávajícího Programu, v rámci, kterého by byly vyhlášeny výzvy v rámci investičních aktivit ve dvou oblastech:</w:t>
      </w:r>
    </w:p>
    <w:p w14:paraId="0C1DD629" w14:textId="77777777" w:rsidR="00B159C9" w:rsidRPr="00B159C9" w:rsidRDefault="00B159C9" w:rsidP="63429056">
      <w:pPr>
        <w:pStyle w:val="Nadpis2"/>
        <w:spacing w:line="276" w:lineRule="auto"/>
        <w:jc w:val="both"/>
        <w:rPr>
          <w:rFonts w:ascii="Times New Roman" w:eastAsiaTheme="minorEastAsia" w:hAnsi="Times New Roman" w:cs="Times New Roman"/>
          <w:b w:val="0"/>
          <w:color w:val="auto"/>
          <w:sz w:val="23"/>
          <w:szCs w:val="23"/>
        </w:rPr>
      </w:pPr>
      <w:r w:rsidRPr="63429056">
        <w:rPr>
          <w:rFonts w:ascii="Times New Roman" w:eastAsiaTheme="minorEastAsia" w:hAnsi="Times New Roman" w:cs="Times New Roman"/>
          <w:b w:val="0"/>
          <w:color w:val="auto"/>
          <w:sz w:val="23"/>
          <w:szCs w:val="23"/>
        </w:rPr>
        <w:t>•</w:t>
      </w:r>
      <w:r>
        <w:tab/>
      </w:r>
      <w:r w:rsidRPr="63429056">
        <w:rPr>
          <w:rFonts w:ascii="Times New Roman" w:eastAsiaTheme="minorEastAsia" w:hAnsi="Times New Roman" w:cs="Times New Roman"/>
          <w:b w:val="0"/>
          <w:color w:val="auto"/>
          <w:sz w:val="23"/>
          <w:szCs w:val="23"/>
        </w:rPr>
        <w:t>opatření ke snížení energetické náročnosti budov státu</w:t>
      </w:r>
    </w:p>
    <w:p w14:paraId="6FAD8F8D" w14:textId="77777777" w:rsidR="00B159C9" w:rsidRPr="00B159C9" w:rsidRDefault="00B159C9" w:rsidP="63429056">
      <w:pPr>
        <w:pStyle w:val="Nadpis2"/>
        <w:spacing w:line="276" w:lineRule="auto"/>
        <w:jc w:val="both"/>
        <w:rPr>
          <w:rFonts w:ascii="Times New Roman" w:eastAsiaTheme="minorEastAsia" w:hAnsi="Times New Roman" w:cs="Times New Roman"/>
          <w:b w:val="0"/>
          <w:color w:val="auto"/>
          <w:sz w:val="23"/>
          <w:szCs w:val="23"/>
        </w:rPr>
      </w:pPr>
      <w:r w:rsidRPr="63429056">
        <w:rPr>
          <w:rFonts w:ascii="Times New Roman" w:eastAsiaTheme="minorEastAsia" w:hAnsi="Times New Roman" w:cs="Times New Roman"/>
          <w:b w:val="0"/>
          <w:color w:val="auto"/>
          <w:sz w:val="23"/>
          <w:szCs w:val="23"/>
        </w:rPr>
        <w:t>•</w:t>
      </w:r>
      <w:r>
        <w:tab/>
      </w:r>
      <w:r w:rsidRPr="63429056">
        <w:rPr>
          <w:rFonts w:ascii="Times New Roman" w:eastAsiaTheme="minorEastAsia" w:hAnsi="Times New Roman" w:cs="Times New Roman"/>
          <w:b w:val="0"/>
          <w:color w:val="auto"/>
          <w:sz w:val="23"/>
          <w:szCs w:val="23"/>
        </w:rPr>
        <w:t>zvýšení energetické účinnosti systémů veřejného osvětlení</w:t>
      </w:r>
    </w:p>
    <w:p w14:paraId="7068F7F3" w14:textId="32326806" w:rsidR="00B159C9" w:rsidRPr="00B159C9" w:rsidRDefault="00B159C9" w:rsidP="63429056">
      <w:pPr>
        <w:pStyle w:val="Nadpis2"/>
        <w:spacing w:line="276" w:lineRule="auto"/>
        <w:jc w:val="both"/>
        <w:rPr>
          <w:rFonts w:ascii="Times New Roman" w:eastAsiaTheme="minorEastAsia" w:hAnsi="Times New Roman" w:cs="Times New Roman"/>
          <w:b w:val="0"/>
          <w:color w:val="auto"/>
          <w:sz w:val="23"/>
          <w:szCs w:val="23"/>
        </w:rPr>
      </w:pPr>
      <w:r w:rsidRPr="606CD914">
        <w:rPr>
          <w:rFonts w:ascii="Times New Roman" w:eastAsiaTheme="minorEastAsia" w:hAnsi="Times New Roman" w:cs="Times New Roman"/>
          <w:b w:val="0"/>
          <w:color w:val="auto"/>
          <w:sz w:val="23"/>
          <w:szCs w:val="23"/>
        </w:rPr>
        <w:t>U obou podpor by do uznatelných nákladů byly zahrnuty náklady na kompletní přípravu projektu včetně nákladů na realizaci veřejné zakázky spojené s realizací. Právě podpora této fáze bude garancí toho, že projekty se budou realizovat v termínech a s maximalizací výtěžnosti úspor energie.</w:t>
      </w:r>
      <w:r w:rsidR="769D3B8C" w:rsidRPr="606CD914">
        <w:rPr>
          <w:rFonts w:ascii="Times New Roman" w:eastAsiaTheme="minorEastAsia" w:hAnsi="Times New Roman" w:cs="Times New Roman"/>
          <w:b w:val="0"/>
          <w:color w:val="auto"/>
          <w:sz w:val="23"/>
          <w:szCs w:val="23"/>
        </w:rPr>
        <w:t xml:space="preserve"> </w:t>
      </w:r>
      <w:r w:rsidRPr="606CD914">
        <w:rPr>
          <w:rFonts w:ascii="Times New Roman" w:eastAsiaTheme="minorEastAsia" w:hAnsi="Times New Roman" w:cs="Times New Roman"/>
          <w:b w:val="0"/>
          <w:color w:val="auto"/>
          <w:sz w:val="23"/>
          <w:szCs w:val="23"/>
        </w:rPr>
        <w:t>Pro oblast rekonstrukce státních budov je nezbytné, aby míra podpory byla v maximální míře, optimálně ve výši 100</w:t>
      </w:r>
      <w:r w:rsidR="03C170FB" w:rsidRPr="606CD914">
        <w:rPr>
          <w:rFonts w:ascii="Times New Roman" w:eastAsiaTheme="minorEastAsia" w:hAnsi="Times New Roman" w:cs="Times New Roman"/>
          <w:b w:val="0"/>
          <w:color w:val="auto"/>
          <w:sz w:val="23"/>
          <w:szCs w:val="23"/>
        </w:rPr>
        <w:t xml:space="preserve"> </w:t>
      </w:r>
      <w:r w:rsidRPr="606CD914">
        <w:rPr>
          <w:rFonts w:ascii="Times New Roman" w:eastAsiaTheme="minorEastAsia" w:hAnsi="Times New Roman" w:cs="Times New Roman"/>
          <w:b w:val="0"/>
          <w:color w:val="auto"/>
          <w:sz w:val="23"/>
          <w:szCs w:val="23"/>
        </w:rPr>
        <w:t>% z uznatelných nákladů, protože v sektoru státních budov nelze kombinovat z důvodu zákona č. 218/2000 Sb. o rozpočtových pravidlech poskytnutí dotace s finančními nástroji.</w:t>
      </w:r>
    </w:p>
    <w:p w14:paraId="05FD1C7E" w14:textId="4A7F546A" w:rsidR="00B159C9" w:rsidRPr="00B159C9" w:rsidRDefault="00B159C9" w:rsidP="63429056">
      <w:pPr>
        <w:pStyle w:val="Nadpis2"/>
        <w:spacing w:line="276" w:lineRule="auto"/>
        <w:jc w:val="both"/>
        <w:rPr>
          <w:rFonts w:ascii="Times New Roman" w:eastAsiaTheme="minorEastAsia" w:hAnsi="Times New Roman" w:cs="Times New Roman"/>
          <w:b w:val="0"/>
          <w:color w:val="auto"/>
          <w:sz w:val="23"/>
          <w:szCs w:val="23"/>
        </w:rPr>
      </w:pPr>
      <w:r w:rsidRPr="606CD914">
        <w:rPr>
          <w:rFonts w:ascii="Times New Roman" w:eastAsiaTheme="minorEastAsia" w:hAnsi="Times New Roman" w:cs="Times New Roman"/>
          <w:b w:val="0"/>
          <w:color w:val="auto"/>
          <w:sz w:val="23"/>
          <w:szCs w:val="23"/>
        </w:rPr>
        <w:t xml:space="preserve">Další reformní aspekt této komponenty spočívá v propagaci/doporučování realizace projektů s akcentem na maximalizaci výtěžnosti úspor energie vůči vynaloženým pro, tzn. metodou </w:t>
      </w:r>
      <w:proofErr w:type="spellStart"/>
      <w:r w:rsidRPr="606CD914">
        <w:rPr>
          <w:rFonts w:ascii="Times New Roman" w:eastAsiaTheme="minorEastAsia" w:hAnsi="Times New Roman" w:cs="Times New Roman"/>
          <w:b w:val="0"/>
          <w:color w:val="auto"/>
          <w:sz w:val="23"/>
          <w:szCs w:val="23"/>
        </w:rPr>
        <w:t>Energy</w:t>
      </w:r>
      <w:proofErr w:type="spellEnd"/>
      <w:r w:rsidRPr="606CD914">
        <w:rPr>
          <w:rFonts w:ascii="Times New Roman" w:eastAsiaTheme="minorEastAsia" w:hAnsi="Times New Roman" w:cs="Times New Roman"/>
          <w:b w:val="0"/>
          <w:color w:val="auto"/>
          <w:sz w:val="23"/>
          <w:szCs w:val="23"/>
        </w:rPr>
        <w:t xml:space="preserve"> Performance </w:t>
      </w:r>
      <w:proofErr w:type="spellStart"/>
      <w:r w:rsidRPr="606CD914">
        <w:rPr>
          <w:rFonts w:ascii="Times New Roman" w:eastAsiaTheme="minorEastAsia" w:hAnsi="Times New Roman" w:cs="Times New Roman"/>
          <w:b w:val="0"/>
          <w:color w:val="auto"/>
          <w:sz w:val="23"/>
          <w:szCs w:val="23"/>
        </w:rPr>
        <w:t>Contracting</w:t>
      </w:r>
      <w:proofErr w:type="spellEnd"/>
      <w:r w:rsidRPr="606CD914">
        <w:rPr>
          <w:rFonts w:ascii="Times New Roman" w:eastAsiaTheme="minorEastAsia" w:hAnsi="Times New Roman" w:cs="Times New Roman"/>
          <w:b w:val="0"/>
          <w:color w:val="auto"/>
          <w:sz w:val="23"/>
          <w:szCs w:val="23"/>
        </w:rPr>
        <w:t xml:space="preserve"> (EPC). Tento přístup je vhodnou náhradou uplatnění finančních nástrojů ve státním sektoru a po realizaci opatření nastavuje kvalitní správu budov ve vztahu k minimalizaci spotřeby energie. Totéž platí pro metodu Performance Design &amp; </w:t>
      </w:r>
      <w:proofErr w:type="spellStart"/>
      <w:r w:rsidRPr="606CD914">
        <w:rPr>
          <w:rFonts w:ascii="Times New Roman" w:eastAsiaTheme="minorEastAsia" w:hAnsi="Times New Roman" w:cs="Times New Roman"/>
          <w:b w:val="0"/>
          <w:color w:val="auto"/>
          <w:sz w:val="23"/>
          <w:szCs w:val="23"/>
        </w:rPr>
        <w:t>Build</w:t>
      </w:r>
      <w:proofErr w:type="spellEnd"/>
      <w:r w:rsidRPr="606CD914">
        <w:rPr>
          <w:rFonts w:ascii="Times New Roman" w:eastAsiaTheme="minorEastAsia" w:hAnsi="Times New Roman" w:cs="Times New Roman"/>
          <w:b w:val="0"/>
          <w:color w:val="auto"/>
          <w:sz w:val="23"/>
          <w:szCs w:val="23"/>
        </w:rPr>
        <w:t xml:space="preserve"> (PD&amp;B), při které je </w:t>
      </w:r>
      <w:proofErr w:type="spellStart"/>
      <w:r w:rsidRPr="606CD914">
        <w:rPr>
          <w:rFonts w:ascii="Times New Roman" w:eastAsiaTheme="minorEastAsia" w:hAnsi="Times New Roman" w:cs="Times New Roman"/>
          <w:b w:val="0"/>
          <w:color w:val="auto"/>
          <w:sz w:val="23"/>
          <w:szCs w:val="23"/>
        </w:rPr>
        <w:t>dodavatelsky</w:t>
      </w:r>
      <w:proofErr w:type="spellEnd"/>
      <w:r w:rsidRPr="606CD914">
        <w:rPr>
          <w:rFonts w:ascii="Times New Roman" w:eastAsiaTheme="minorEastAsia" w:hAnsi="Times New Roman" w:cs="Times New Roman"/>
          <w:b w:val="0"/>
          <w:color w:val="auto"/>
          <w:sz w:val="23"/>
          <w:szCs w:val="23"/>
        </w:rPr>
        <w:t xml:space="preserve"> spojován návrh nejvhodnějšího řešení s kvalitní realizací navržených opatření. Dále, v souladu s „Koncepcí z</w:t>
      </w:r>
      <w:r w:rsidR="33AD2E83" w:rsidRPr="606CD914">
        <w:rPr>
          <w:rFonts w:ascii="Times New Roman" w:eastAsiaTheme="minorEastAsia" w:hAnsi="Times New Roman" w:cs="Times New Roman"/>
          <w:b w:val="0"/>
          <w:color w:val="auto"/>
          <w:sz w:val="23"/>
          <w:szCs w:val="23"/>
        </w:rPr>
        <w:t>a</w:t>
      </w:r>
      <w:r w:rsidRPr="606CD914">
        <w:rPr>
          <w:rFonts w:ascii="Times New Roman" w:eastAsiaTheme="minorEastAsia" w:hAnsi="Times New Roman" w:cs="Times New Roman"/>
          <w:b w:val="0"/>
          <w:color w:val="auto"/>
          <w:sz w:val="23"/>
          <w:szCs w:val="23"/>
        </w:rPr>
        <w:t>vádění metody BIM v ČR“ schválené vládou ČR bude podporováno při realizacích</w:t>
      </w:r>
      <w:r w:rsidR="2ECE8498" w:rsidRPr="606CD914">
        <w:rPr>
          <w:rFonts w:ascii="Times New Roman" w:eastAsiaTheme="minorEastAsia" w:hAnsi="Times New Roman" w:cs="Times New Roman"/>
          <w:b w:val="0"/>
          <w:color w:val="auto"/>
          <w:sz w:val="23"/>
          <w:szCs w:val="23"/>
        </w:rPr>
        <w:t xml:space="preserve"> </w:t>
      </w:r>
      <w:r w:rsidRPr="606CD914">
        <w:rPr>
          <w:rFonts w:ascii="Times New Roman" w:eastAsiaTheme="minorEastAsia" w:hAnsi="Times New Roman" w:cs="Times New Roman"/>
          <w:b w:val="0"/>
          <w:color w:val="auto"/>
          <w:sz w:val="23"/>
          <w:szCs w:val="23"/>
        </w:rPr>
        <w:t xml:space="preserve">užití </w:t>
      </w:r>
      <w:proofErr w:type="spellStart"/>
      <w:r w:rsidRPr="606CD914">
        <w:rPr>
          <w:rFonts w:ascii="Times New Roman" w:eastAsiaTheme="minorEastAsia" w:hAnsi="Times New Roman" w:cs="Times New Roman"/>
          <w:b w:val="0"/>
          <w:color w:val="auto"/>
          <w:sz w:val="23"/>
          <w:szCs w:val="23"/>
        </w:rPr>
        <w:t>Building</w:t>
      </w:r>
      <w:proofErr w:type="spellEnd"/>
      <w:r w:rsidRPr="606CD914">
        <w:rPr>
          <w:rFonts w:ascii="Times New Roman" w:eastAsiaTheme="minorEastAsia" w:hAnsi="Times New Roman" w:cs="Times New Roman"/>
          <w:b w:val="0"/>
          <w:color w:val="auto"/>
          <w:sz w:val="23"/>
          <w:szCs w:val="23"/>
        </w:rPr>
        <w:t xml:space="preserve"> </w:t>
      </w:r>
      <w:proofErr w:type="spellStart"/>
      <w:r w:rsidRPr="606CD914">
        <w:rPr>
          <w:rFonts w:ascii="Times New Roman" w:eastAsiaTheme="minorEastAsia" w:hAnsi="Times New Roman" w:cs="Times New Roman"/>
          <w:b w:val="0"/>
          <w:color w:val="auto"/>
          <w:sz w:val="23"/>
          <w:szCs w:val="23"/>
        </w:rPr>
        <w:t>Information</w:t>
      </w:r>
      <w:proofErr w:type="spellEnd"/>
      <w:r w:rsidRPr="606CD914">
        <w:rPr>
          <w:rFonts w:ascii="Times New Roman" w:eastAsiaTheme="minorEastAsia" w:hAnsi="Times New Roman" w:cs="Times New Roman"/>
          <w:b w:val="0"/>
          <w:color w:val="auto"/>
          <w:sz w:val="23"/>
          <w:szCs w:val="23"/>
        </w:rPr>
        <w:t xml:space="preserve"> Modelling (BIM), který díky inteligentnímu procesu založenému na </w:t>
      </w:r>
      <w:proofErr w:type="gramStart"/>
      <w:r w:rsidRPr="606CD914">
        <w:rPr>
          <w:rFonts w:ascii="Times New Roman" w:eastAsiaTheme="minorEastAsia" w:hAnsi="Times New Roman" w:cs="Times New Roman"/>
          <w:b w:val="0"/>
          <w:color w:val="auto"/>
          <w:sz w:val="23"/>
          <w:szCs w:val="23"/>
        </w:rPr>
        <w:t>3D</w:t>
      </w:r>
      <w:proofErr w:type="gramEnd"/>
      <w:r w:rsidRPr="606CD914">
        <w:rPr>
          <w:rFonts w:ascii="Times New Roman" w:eastAsiaTheme="minorEastAsia" w:hAnsi="Times New Roman" w:cs="Times New Roman"/>
          <w:b w:val="0"/>
          <w:color w:val="auto"/>
          <w:sz w:val="23"/>
          <w:szCs w:val="23"/>
        </w:rPr>
        <w:t xml:space="preserve"> modelu,</w:t>
      </w:r>
      <w:r w:rsidR="625B7AF5" w:rsidRPr="606CD914">
        <w:rPr>
          <w:rFonts w:ascii="Times New Roman" w:eastAsiaTheme="minorEastAsia" w:hAnsi="Times New Roman" w:cs="Times New Roman"/>
          <w:b w:val="0"/>
          <w:color w:val="auto"/>
          <w:sz w:val="23"/>
          <w:szCs w:val="23"/>
        </w:rPr>
        <w:t xml:space="preserve"> </w:t>
      </w:r>
      <w:r w:rsidRPr="606CD914">
        <w:rPr>
          <w:rFonts w:ascii="Times New Roman" w:eastAsiaTheme="minorEastAsia" w:hAnsi="Times New Roman" w:cs="Times New Roman"/>
          <w:b w:val="0"/>
          <w:color w:val="auto"/>
          <w:sz w:val="23"/>
          <w:szCs w:val="23"/>
        </w:rPr>
        <w:t>vytváření a správy dat o stavbě, poskytuje přehled a nástroje k efektivnějšímu plánování, navrhování, konstrukci a správě budov a infrastruktury.</w:t>
      </w:r>
    </w:p>
    <w:p w14:paraId="1C15FAC5" w14:textId="5A3AC0F3" w:rsidR="0015052B" w:rsidRDefault="00B159C9" w:rsidP="63429056">
      <w:pPr>
        <w:pStyle w:val="Nadpis2"/>
        <w:spacing w:line="276" w:lineRule="auto"/>
        <w:jc w:val="both"/>
        <w:rPr>
          <w:rFonts w:ascii="Times New Roman" w:hAnsi="Times New Roman" w:cs="Times New Roman"/>
          <w:sz w:val="28"/>
          <w:szCs w:val="28"/>
        </w:rPr>
      </w:pPr>
      <w:r w:rsidRPr="63429056">
        <w:rPr>
          <w:rFonts w:ascii="Times New Roman" w:eastAsiaTheme="minorEastAsia" w:hAnsi="Times New Roman" w:cs="Times New Roman"/>
          <w:b w:val="0"/>
          <w:color w:val="auto"/>
          <w:sz w:val="23"/>
          <w:szCs w:val="23"/>
        </w:rPr>
        <w:t>V oblasti rekonstrukce systémů veřejného osvětlení je možné zvážit zapojení vlastních (případně i privátních) finančních prostředků, které by mohly zlepšit efektivitu vynaložených finančních zdrojů.</w:t>
      </w:r>
    </w:p>
    <w:p w14:paraId="1E505E7D" w14:textId="3A090759" w:rsidR="002C20CF" w:rsidRPr="00ED337B" w:rsidRDefault="002C20CF" w:rsidP="000654F6">
      <w:pPr>
        <w:pStyle w:val="Nadpis2"/>
        <w:spacing w:line="276" w:lineRule="auto"/>
        <w:rPr>
          <w:rFonts w:ascii="Times New Roman" w:hAnsi="Times New Roman" w:cs="Times New Roman"/>
          <w:sz w:val="28"/>
          <w:szCs w:val="28"/>
        </w:rPr>
      </w:pPr>
      <w:r w:rsidRPr="00ED337B">
        <w:rPr>
          <w:rFonts w:ascii="Times New Roman" w:hAnsi="Times New Roman" w:cs="Times New Roman"/>
          <w:sz w:val="28"/>
          <w:szCs w:val="28"/>
        </w:rPr>
        <w:t xml:space="preserve">2. </w:t>
      </w:r>
      <w:r w:rsidR="00EF374D" w:rsidRPr="00ED337B">
        <w:rPr>
          <w:rStyle w:val="K-Nadpis2Char"/>
          <w:b/>
        </w:rPr>
        <w:t>Hlavní výzvy a cíle</w:t>
      </w:r>
    </w:p>
    <w:p w14:paraId="5547CE50" w14:textId="77777777" w:rsidR="00B159C9" w:rsidRDefault="00B159C9" w:rsidP="000654F6">
      <w:pPr>
        <w:pStyle w:val="K-Text"/>
        <w:spacing w:line="276" w:lineRule="auto"/>
      </w:pPr>
      <w:r>
        <w:t xml:space="preserve">Hlavní ambicí komponenty je zvýšení energetické účinnosti v rámci celého národního hospodářství zejména ve vztahu ke stanoveným cílům vyplývajících z revidované podoby směrnice </w:t>
      </w:r>
      <w:bookmarkStart w:id="0" w:name="_Hlk57975546"/>
      <w:r>
        <w:t>2012/27/EU o energetické účinnosti</w:t>
      </w:r>
      <w:bookmarkEnd w:id="0"/>
      <w:r>
        <w:t>. Základním cílem je národní příspěvek k zajištění splnění cíle EU v oblasti energetické účinnosti do roku 2030 (</w:t>
      </w:r>
      <w:proofErr w:type="gramStart"/>
      <w:r>
        <w:t>32,5%</w:t>
      </w:r>
      <w:proofErr w:type="gramEnd"/>
      <w:r>
        <w:t xml:space="preserve"> snížení celkové konečné spotřeby oproti scénáři PRIMES 2007). Způsob stanovení výše cíle a politiky k jeho dosažení jsou uvedeny ve Vnitrostátním plánu ČR v oblasti energetiky a klimatu. ČR předpokládá dosáhnout úrovně 990 PJ v konečné spotřebě energie.</w:t>
      </w:r>
    </w:p>
    <w:p w14:paraId="2BDE6CF6" w14:textId="77777777" w:rsidR="00B159C9" w:rsidRDefault="00B159C9" w:rsidP="000654F6">
      <w:pPr>
        <w:pStyle w:val="K-Text"/>
        <w:spacing w:line="276" w:lineRule="auto"/>
      </w:pPr>
      <w:r>
        <w:t>Další závazek ČR v oblasti zvyšování energetické účinnosti je stanoven v souladu dle čl. 7 pro období 2021-2030 ve výši 84 PJ nových úspor energie, tj. celkem 462 PJ kumulovaných úspor energie do roku 2030. Výše závazku respektuje požadavek dodržení minimální úrovně roční úspory energie ve výši 0,8 % konečné spotřeby energie v souladu s čl. 7 odst. 1(b).</w:t>
      </w:r>
    </w:p>
    <w:p w14:paraId="6910C4B9" w14:textId="508C27C4" w:rsidR="00ED337B" w:rsidRPr="00ED337B" w:rsidRDefault="00B159C9" w:rsidP="000654F6">
      <w:pPr>
        <w:pStyle w:val="K-Text"/>
        <w:spacing w:line="276" w:lineRule="auto"/>
      </w:pPr>
      <w:r w:rsidRPr="00B159C9">
        <w:t>Zvyšování energetické účinnosti prostřednictvím renovací budov a modernizací veřejného osvětlení je plně v souladu s celkovým kontextem obnovy ekonomiky a naplňuje i požadavek na realizaci tzv. zelených investic. Zvyšování energetické účinnosti přímo ovlivňuje transformaci energetického sektoru, má přímý pozitivní vliv na kvalitu životního prostředí, má přímý vliv na rozvoj stavebnictví, na dopravu, na úroveň provozních nákladů ve veřejném sektoru, v podnikatelském sektoru i v sektoru bydlení a souvisí s dalšími aspekty v rámci národního hospodářství. Doporučení EU explicitně uvádějí, že by se členské státy měly zaměřit v rámci investiční hospodářské politiky na přechod na nízkouhlíkové hospodářství a transformaci energetiky. Komponenta tedy reflektuje uvedené doporučení, a to jak v oblasti rekonstrukce státních budov, tak v oblasti rekonstrukcí systémů veřejného osvětlení.</w:t>
      </w:r>
    </w:p>
    <w:p w14:paraId="4357DEF3" w14:textId="2576BBBD" w:rsidR="002C20CF" w:rsidRPr="00ED337B" w:rsidRDefault="002C20CF" w:rsidP="000654F6">
      <w:pPr>
        <w:pStyle w:val="Default"/>
        <w:spacing w:after="120" w:line="276" w:lineRule="auto"/>
        <w:jc w:val="both"/>
        <w:rPr>
          <w:b/>
        </w:rPr>
      </w:pPr>
      <w:r w:rsidRPr="00ED337B">
        <w:rPr>
          <w:rStyle w:val="K-Nadpis3Char"/>
        </w:rPr>
        <w:t xml:space="preserve">a) </w:t>
      </w:r>
      <w:r w:rsidR="00EF374D" w:rsidRPr="00ED337B">
        <w:rPr>
          <w:rStyle w:val="K-Nadpis3Char"/>
        </w:rPr>
        <w:t>Hlavní výzvy</w:t>
      </w:r>
    </w:p>
    <w:p w14:paraId="7DFFC8AA" w14:textId="77777777" w:rsidR="003B36C4" w:rsidRPr="003B36C4" w:rsidRDefault="003B36C4" w:rsidP="000654F6">
      <w:pPr>
        <w:pStyle w:val="K-TextInfo"/>
        <w:spacing w:line="276" w:lineRule="auto"/>
        <w:rPr>
          <w:i w:val="0"/>
          <w:color w:val="auto"/>
        </w:rPr>
      </w:pPr>
      <w:r w:rsidRPr="003B36C4">
        <w:rPr>
          <w:i w:val="0"/>
          <w:color w:val="auto"/>
        </w:rPr>
        <w:lastRenderedPageBreak/>
        <w:t xml:space="preserve">ČR je aktuálně na cestě naplnit cíl energetické účinnosti, tzn. cíl snížení konečné spotřeby energie. V roce 2018 dle dat </w:t>
      </w:r>
      <w:proofErr w:type="spellStart"/>
      <w:r w:rsidRPr="003B36C4">
        <w:rPr>
          <w:i w:val="0"/>
          <w:color w:val="auto"/>
        </w:rPr>
        <w:t>Eurostat</w:t>
      </w:r>
      <w:proofErr w:type="spellEnd"/>
      <w:r w:rsidRPr="003B36C4">
        <w:rPr>
          <w:i w:val="0"/>
          <w:color w:val="auto"/>
        </w:rPr>
        <w:t xml:space="preserve"> dosáhla ČR hodnoty konečné spotřeby energie ve výši 1060 PJ, což je cílová hodnota stanovena pro rok 2020. I přes nerovnoměrný vývoj konečné spotřeby energie, který je ovlivněn externími faktory (klimatické podmínky, ekonomická situace), což se projevilo mezi roky 2014 a 2017 (bylo možné po dlouhodobém poklesu sledovat meziroční nárůst spotřeby konečné energie), lze očekávat naplnění stanoveného cíle snížení konečné spotřeby energie o 20 % oproti roku 2007. Dle tohoto ukazatele se ČR nachází mezi devíti dalšími zeměmi EU28, které vykazují prozatímní plnění cíle. </w:t>
      </w:r>
      <w:r w:rsidRPr="003B36C4">
        <w:rPr>
          <w:b/>
          <w:i w:val="0"/>
          <w:color w:val="auto"/>
        </w:rPr>
        <w:t>Zároveň je však potřeba mít na mysli, že ze strany EU dochází k neustálému navyšování ambicí, tudíž je potřeba vyvinout veškeré úsilí, aby vývoj konečné spotřeby byl stabilizován, resp. aby po očištění externích faktorů bylo prokazováno zvyšování energetické účinnosti národního hospodářství</w:t>
      </w:r>
      <w:r w:rsidRPr="003B36C4">
        <w:rPr>
          <w:i w:val="0"/>
          <w:color w:val="auto"/>
        </w:rPr>
        <w:t>.</w:t>
      </w:r>
    </w:p>
    <w:p w14:paraId="125CD2E2" w14:textId="0888DD17" w:rsidR="00B159C9" w:rsidRPr="003B36C4" w:rsidRDefault="003B36C4" w:rsidP="000654F6">
      <w:pPr>
        <w:pStyle w:val="K-TextInfo"/>
        <w:spacing w:line="276" w:lineRule="auto"/>
        <w:rPr>
          <w:i w:val="0"/>
          <w:color w:val="auto"/>
        </w:rPr>
      </w:pPr>
      <w:r w:rsidRPr="003B36C4">
        <w:rPr>
          <w:b/>
          <w:i w:val="0"/>
          <w:color w:val="auto"/>
        </w:rPr>
        <w:t>I přes výše uvedené však ČR dlouhodobě patří ke státům, které mají problémy s plněním závazků podle čl. 7 směrnice 2012/27/EU o energetické účinnosti. V tomto směru je potřebné rozšířit portfolio nástrojů státu, tzv. politických opatření, aby CŘ byla v novém závazkovém období schopna plnit své závazky bez nutnosti změnit politiku zvyšování energetické účinnosti.</w:t>
      </w:r>
      <w:r w:rsidRPr="003B36C4">
        <w:rPr>
          <w:i w:val="0"/>
          <w:color w:val="auto"/>
        </w:rPr>
        <w:t xml:space="preserve"> Tato změna by pravděpodobně znamenala nutnost zavedení povinnosti pro vybrané společnosti realizovat u konečných spotřebitelů úsporné opatření a v následném důsledku zdražení ceny energie. Takový scénář by byl v rozporu se související politikou předcházení a řešení energetické chudoby.</w:t>
      </w:r>
      <w:r>
        <w:rPr>
          <w:i w:val="0"/>
          <w:color w:val="auto"/>
        </w:rPr>
        <w:t xml:space="preserve"> </w:t>
      </w:r>
    </w:p>
    <w:p w14:paraId="75616F84" w14:textId="77777777" w:rsidR="002C20CF" w:rsidRPr="00ED337B" w:rsidRDefault="002C20CF" w:rsidP="000654F6">
      <w:pPr>
        <w:pStyle w:val="K-Nadpis3"/>
        <w:spacing w:line="276" w:lineRule="auto"/>
      </w:pPr>
      <w:r w:rsidRPr="00ED337B">
        <w:t xml:space="preserve">b) </w:t>
      </w:r>
      <w:r w:rsidR="00EF374D" w:rsidRPr="00ED337B">
        <w:t>Cíle</w:t>
      </w:r>
      <w:r w:rsidRPr="00ED337B">
        <w:t xml:space="preserve"> </w:t>
      </w:r>
    </w:p>
    <w:p w14:paraId="7512EAF9" w14:textId="342BAB74" w:rsidR="003B36C4" w:rsidRDefault="003B36C4" w:rsidP="606CD914">
      <w:pPr>
        <w:pStyle w:val="K-TextInfo"/>
        <w:numPr>
          <w:ilvl w:val="0"/>
          <w:numId w:val="25"/>
        </w:numPr>
        <w:spacing w:line="276" w:lineRule="auto"/>
        <w:rPr>
          <w:b/>
          <w:bCs/>
          <w:i w:val="0"/>
          <w:iCs w:val="0"/>
          <w:color w:val="000000" w:themeColor="text1"/>
        </w:rPr>
      </w:pPr>
      <w:r w:rsidRPr="606CD914">
        <w:rPr>
          <w:b/>
          <w:bCs/>
          <w:i w:val="0"/>
          <w:iCs w:val="0"/>
          <w:color w:val="auto"/>
        </w:rPr>
        <w:t xml:space="preserve">Naplnit příspěvek ČR k dosažení cíle EU v oblasti snižování </w:t>
      </w:r>
    </w:p>
    <w:p w14:paraId="0A5D494D" w14:textId="163D8994" w:rsidR="000654F6" w:rsidRPr="000654F6" w:rsidRDefault="000654F6" w:rsidP="606CD914">
      <w:pPr>
        <w:pStyle w:val="K-TextInfo"/>
        <w:spacing w:line="276" w:lineRule="auto"/>
        <w:ind w:left="720"/>
        <w:rPr>
          <w:rFonts w:eastAsia="Times New Roman"/>
          <w:i w:val="0"/>
          <w:iCs w:val="0"/>
          <w:color w:val="auto"/>
        </w:rPr>
      </w:pPr>
      <w:r w:rsidRPr="606CD914">
        <w:rPr>
          <w:rFonts w:eastAsia="Times New Roman"/>
          <w:i w:val="0"/>
          <w:iCs w:val="0"/>
          <w:color w:val="auto"/>
        </w:rPr>
        <w:t xml:space="preserve">Vnitrostátní cíl ČR do roku 2030 odpovídá snížení energetické intenzity tvorby HDP na úroveň 0,157 MJ/Kč a tvorby HPH na úroveň 0,174 MJ/Kč. S ohledem na povinnost vyplývající z čl. 3 odst. 1 směrnice o energetické účinnosti je </w:t>
      </w:r>
      <w:proofErr w:type="spellStart"/>
      <w:r w:rsidRPr="606CD914">
        <w:rPr>
          <w:rFonts w:eastAsia="Times New Roman"/>
          <w:i w:val="0"/>
          <w:iCs w:val="0"/>
          <w:color w:val="auto"/>
        </w:rPr>
        <w:t>vnitrostání</w:t>
      </w:r>
      <w:proofErr w:type="spellEnd"/>
      <w:r w:rsidRPr="606CD914">
        <w:rPr>
          <w:rFonts w:eastAsia="Times New Roman"/>
          <w:i w:val="0"/>
          <w:iCs w:val="0"/>
          <w:color w:val="auto"/>
        </w:rPr>
        <w:t xml:space="preserve"> cíl ČR vyjádřen i v konečné spotřebě energie, která by neměla přesáhnout 990 PJ resp. 1 735 PJ ve spotřebě primární energie.</w:t>
      </w:r>
    </w:p>
    <w:p w14:paraId="1FCF44A5" w14:textId="3DC5E0AB" w:rsidR="003B36C4" w:rsidRDefault="003B36C4" w:rsidP="606CD914">
      <w:pPr>
        <w:pStyle w:val="K-TextInfo"/>
        <w:numPr>
          <w:ilvl w:val="0"/>
          <w:numId w:val="25"/>
        </w:numPr>
        <w:spacing w:line="276" w:lineRule="auto"/>
        <w:rPr>
          <w:rFonts w:eastAsia="Times New Roman"/>
          <w:b/>
          <w:bCs/>
          <w:i w:val="0"/>
          <w:iCs w:val="0"/>
          <w:color w:val="000000" w:themeColor="text1"/>
        </w:rPr>
      </w:pPr>
      <w:r w:rsidRPr="606CD914">
        <w:rPr>
          <w:rFonts w:eastAsia="Times New Roman"/>
          <w:b/>
          <w:bCs/>
          <w:i w:val="0"/>
          <w:iCs w:val="0"/>
          <w:color w:val="auto"/>
        </w:rPr>
        <w:t>Splnění závazku ČR kumulovaných úspor energie dle čl. 7 směrnice 2012/27/EU pro období 2021</w:t>
      </w:r>
      <w:r w:rsidR="000654F6" w:rsidRPr="606CD914">
        <w:rPr>
          <w:rFonts w:eastAsia="Times New Roman"/>
          <w:b/>
          <w:bCs/>
          <w:i w:val="0"/>
          <w:iCs w:val="0"/>
          <w:color w:val="auto"/>
        </w:rPr>
        <w:t>–</w:t>
      </w:r>
      <w:r w:rsidRPr="606CD914">
        <w:rPr>
          <w:rFonts w:eastAsia="Times New Roman"/>
          <w:b/>
          <w:bCs/>
          <w:i w:val="0"/>
          <w:iCs w:val="0"/>
          <w:color w:val="auto"/>
        </w:rPr>
        <w:t>2030</w:t>
      </w:r>
    </w:p>
    <w:p w14:paraId="04DF7F5E" w14:textId="1608926F" w:rsidR="000654F6" w:rsidRPr="000654F6" w:rsidRDefault="000654F6" w:rsidP="606CD914">
      <w:pPr>
        <w:pStyle w:val="K-TextInfo"/>
        <w:spacing w:line="276" w:lineRule="auto"/>
        <w:ind w:left="720"/>
        <w:rPr>
          <w:rFonts w:eastAsia="Times New Roman"/>
          <w:i w:val="0"/>
          <w:iCs w:val="0"/>
          <w:color w:val="auto"/>
        </w:rPr>
      </w:pPr>
      <w:r w:rsidRPr="606CD914">
        <w:rPr>
          <w:rFonts w:eastAsia="Times New Roman"/>
          <w:i w:val="0"/>
          <w:iCs w:val="0"/>
          <w:color w:val="auto"/>
        </w:rPr>
        <w:t>V souladu se zněním revize směrnice 2012/27/EU a pravidel pro stanovení závazku byl stanoven cíl ČR dle čl. 7 pro období 2021-2030 ve výši 84 PJ nových úspor energie, tj. celkem 462 PJ kumulovaných úspor energie do roku 2030. Výše závazku respektuje požadavek dodržení minimální úrovně roční úspory energie ve výši 0,8 % konečné spotřeby energie v souladu s čl. 7 odst. 1(b).</w:t>
      </w:r>
    </w:p>
    <w:p w14:paraId="756A090E" w14:textId="142231D5" w:rsidR="000654F6" w:rsidRDefault="000654F6" w:rsidP="606CD914">
      <w:pPr>
        <w:pStyle w:val="K-TextInfo"/>
        <w:numPr>
          <w:ilvl w:val="0"/>
          <w:numId w:val="25"/>
        </w:numPr>
        <w:spacing w:line="276" w:lineRule="auto"/>
        <w:rPr>
          <w:rFonts w:eastAsia="Times New Roman"/>
          <w:b/>
          <w:bCs/>
          <w:i w:val="0"/>
          <w:iCs w:val="0"/>
          <w:color w:val="000000" w:themeColor="text1"/>
        </w:rPr>
      </w:pPr>
      <w:r w:rsidRPr="606CD914">
        <w:rPr>
          <w:rFonts w:eastAsia="Times New Roman"/>
          <w:b/>
          <w:bCs/>
          <w:i w:val="0"/>
          <w:iCs w:val="0"/>
          <w:color w:val="auto"/>
        </w:rPr>
        <w:t>Naplnit závazek příkladné úlohy budov veřejných subjektů dle čl. 5 směrnice 2012/27/EU</w:t>
      </w:r>
    </w:p>
    <w:p w14:paraId="49C77704" w14:textId="51D3B5B7" w:rsidR="000654F6" w:rsidRPr="000654F6" w:rsidRDefault="000654F6" w:rsidP="606CD914">
      <w:pPr>
        <w:pStyle w:val="K-TextInfo"/>
        <w:spacing w:line="276" w:lineRule="auto"/>
        <w:ind w:left="720"/>
        <w:rPr>
          <w:rFonts w:eastAsia="Times New Roman"/>
          <w:i w:val="0"/>
          <w:iCs w:val="0"/>
          <w:color w:val="auto"/>
        </w:rPr>
      </w:pPr>
      <w:r w:rsidRPr="606CD914">
        <w:rPr>
          <w:rFonts w:eastAsia="Times New Roman"/>
          <w:i w:val="0"/>
          <w:iCs w:val="0"/>
          <w:color w:val="auto"/>
        </w:rPr>
        <w:t>Článek 5 směrnice stanoví, že členský stát zajistí, aby byly počínaje 1. lednem 2014 každoročně v renovaci alespoň 3 % celkové plochy budov s energeticky vztažnou plochou větší než 250 m</w:t>
      </w:r>
      <w:r w:rsidRPr="606CD914">
        <w:rPr>
          <w:rFonts w:eastAsia="Times New Roman"/>
          <w:i w:val="0"/>
          <w:iCs w:val="0"/>
          <w:color w:val="auto"/>
          <w:vertAlign w:val="superscript"/>
        </w:rPr>
        <w:t>2</w:t>
      </w:r>
      <w:r w:rsidRPr="606CD914">
        <w:rPr>
          <w:rFonts w:eastAsia="Times New Roman"/>
          <w:i w:val="0"/>
          <w:iCs w:val="0"/>
          <w:color w:val="auto"/>
        </w:rPr>
        <w:t>,</w:t>
      </w:r>
      <w:r w:rsidRPr="606CD914">
        <w:rPr>
          <w:rFonts w:eastAsia="Times New Roman"/>
          <w:i w:val="0"/>
          <w:iCs w:val="0"/>
          <w:color w:val="auto"/>
          <w:vertAlign w:val="superscript"/>
        </w:rPr>
        <w:t xml:space="preserve"> </w:t>
      </w:r>
      <w:r w:rsidRPr="606CD914">
        <w:rPr>
          <w:rFonts w:eastAsia="Times New Roman"/>
          <w:i w:val="0"/>
          <w:iCs w:val="0"/>
          <w:color w:val="auto"/>
        </w:rPr>
        <w:t xml:space="preserve">které vlastní a užívají ústřední instituce a které současné nesplňují požadavky na energetickou náročnost budov, klasifikační třídu </w:t>
      </w:r>
      <w:proofErr w:type="gramStart"/>
      <w:r w:rsidRPr="606CD914">
        <w:rPr>
          <w:rFonts w:eastAsia="Times New Roman"/>
          <w:i w:val="0"/>
          <w:iCs w:val="0"/>
          <w:color w:val="auto"/>
        </w:rPr>
        <w:t>C - úsporná</w:t>
      </w:r>
      <w:proofErr w:type="gramEnd"/>
      <w:r w:rsidRPr="606CD914">
        <w:rPr>
          <w:rFonts w:eastAsia="Times New Roman"/>
          <w:i w:val="0"/>
          <w:iCs w:val="0"/>
          <w:color w:val="auto"/>
        </w:rPr>
        <w:t xml:space="preserve">. </w:t>
      </w:r>
    </w:p>
    <w:p w14:paraId="59E77FBB" w14:textId="34B9F97C" w:rsidR="000654F6" w:rsidRDefault="000654F6" w:rsidP="606CD914">
      <w:pPr>
        <w:pStyle w:val="K-TextInfo"/>
        <w:numPr>
          <w:ilvl w:val="0"/>
          <w:numId w:val="25"/>
        </w:numPr>
        <w:spacing w:line="276" w:lineRule="auto"/>
        <w:rPr>
          <w:b/>
          <w:bCs/>
          <w:i w:val="0"/>
          <w:iCs w:val="0"/>
          <w:color w:val="000000" w:themeColor="text1"/>
        </w:rPr>
      </w:pPr>
      <w:r w:rsidRPr="606CD914">
        <w:rPr>
          <w:b/>
          <w:bCs/>
          <w:i w:val="0"/>
          <w:iCs w:val="0"/>
          <w:color w:val="auto"/>
        </w:rPr>
        <w:t xml:space="preserve">Plnění milníků stanovených v Dlouhodobé strategii renovace budov podle čl. </w:t>
      </w:r>
      <w:proofErr w:type="gramStart"/>
      <w:r w:rsidRPr="606CD914">
        <w:rPr>
          <w:b/>
          <w:bCs/>
          <w:i w:val="0"/>
          <w:iCs w:val="0"/>
          <w:color w:val="auto"/>
        </w:rPr>
        <w:t>2a</w:t>
      </w:r>
      <w:proofErr w:type="gramEnd"/>
      <w:r w:rsidRPr="606CD914">
        <w:rPr>
          <w:b/>
          <w:bCs/>
          <w:i w:val="0"/>
          <w:iCs w:val="0"/>
          <w:color w:val="auto"/>
        </w:rPr>
        <w:t xml:space="preserve"> směrnice o energetické náročnosti budov</w:t>
      </w:r>
    </w:p>
    <w:tbl>
      <w:tblPr>
        <w:tblW w:w="9705" w:type="dxa"/>
        <w:tblLayout w:type="fixed"/>
        <w:tblCellMar>
          <w:left w:w="70" w:type="dxa"/>
          <w:right w:w="70" w:type="dxa"/>
        </w:tblCellMar>
        <w:tblLook w:val="04A0" w:firstRow="1" w:lastRow="0" w:firstColumn="1" w:lastColumn="0" w:noHBand="0" w:noVBand="1"/>
      </w:tblPr>
      <w:tblGrid>
        <w:gridCol w:w="5524"/>
        <w:gridCol w:w="1045"/>
        <w:gridCol w:w="1045"/>
        <w:gridCol w:w="1045"/>
        <w:gridCol w:w="1046"/>
      </w:tblGrid>
      <w:tr w:rsidR="000654F6" w:rsidRPr="000654F6" w14:paraId="6AFB561E" w14:textId="77777777" w:rsidTr="00582805">
        <w:trPr>
          <w:trHeight w:val="283"/>
        </w:trPr>
        <w:tc>
          <w:tcPr>
            <w:tcW w:w="5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874F1B2" w14:textId="77777777" w:rsidR="000654F6" w:rsidRPr="000654F6" w:rsidRDefault="000654F6" w:rsidP="000654F6">
            <w:pPr>
              <w:spacing w:after="0" w:line="276" w:lineRule="auto"/>
              <w:jc w:val="both"/>
              <w:rPr>
                <w:rFonts w:ascii="Times New Roman" w:eastAsia="Times New Roman" w:hAnsi="Times New Roman" w:cs="Times New Roman"/>
                <w:b/>
                <w:bCs/>
                <w:noProof/>
                <w:color w:val="000000"/>
                <w:lang w:eastAsia="cs-CZ"/>
              </w:rPr>
            </w:pPr>
            <w:r w:rsidRPr="000654F6">
              <w:rPr>
                <w:rFonts w:ascii="Times New Roman" w:eastAsia="Times New Roman" w:hAnsi="Times New Roman" w:cs="Times New Roman"/>
                <w:b/>
                <w:bCs/>
                <w:noProof/>
                <w:color w:val="000000"/>
                <w:lang w:eastAsia="cs-CZ"/>
              </w:rPr>
              <w:t>Optimální</w:t>
            </w:r>
          </w:p>
        </w:tc>
        <w:tc>
          <w:tcPr>
            <w:tcW w:w="10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96905B7" w14:textId="77777777" w:rsidR="000654F6" w:rsidRPr="000654F6" w:rsidRDefault="000654F6" w:rsidP="000654F6">
            <w:pPr>
              <w:spacing w:after="0" w:line="276" w:lineRule="auto"/>
              <w:jc w:val="both"/>
              <w:rPr>
                <w:rFonts w:ascii="Times New Roman" w:eastAsia="Times New Roman" w:hAnsi="Times New Roman" w:cs="Times New Roman"/>
                <w:b/>
                <w:bCs/>
                <w:noProof/>
                <w:color w:val="000000"/>
                <w:lang w:eastAsia="cs-CZ"/>
              </w:rPr>
            </w:pPr>
            <w:r w:rsidRPr="000654F6">
              <w:rPr>
                <w:rFonts w:ascii="Times New Roman" w:eastAsia="Times New Roman" w:hAnsi="Times New Roman" w:cs="Times New Roman"/>
                <w:b/>
                <w:bCs/>
                <w:noProof/>
                <w:color w:val="000000"/>
                <w:lang w:eastAsia="cs-CZ"/>
              </w:rPr>
              <w:t>2020</w:t>
            </w:r>
          </w:p>
        </w:tc>
        <w:tc>
          <w:tcPr>
            <w:tcW w:w="104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D0D2555" w14:textId="77777777" w:rsidR="000654F6" w:rsidRPr="000654F6" w:rsidRDefault="000654F6" w:rsidP="000654F6">
            <w:pPr>
              <w:spacing w:after="0" w:line="276" w:lineRule="auto"/>
              <w:jc w:val="both"/>
              <w:rPr>
                <w:rFonts w:ascii="Times New Roman" w:eastAsia="Times New Roman" w:hAnsi="Times New Roman" w:cs="Times New Roman"/>
                <w:b/>
                <w:bCs/>
                <w:noProof/>
                <w:color w:val="000000"/>
                <w:lang w:eastAsia="cs-CZ"/>
              </w:rPr>
            </w:pPr>
            <w:r w:rsidRPr="000654F6">
              <w:rPr>
                <w:rFonts w:ascii="Times New Roman" w:eastAsia="Times New Roman" w:hAnsi="Times New Roman" w:cs="Times New Roman"/>
                <w:b/>
                <w:bCs/>
                <w:noProof/>
                <w:color w:val="000000"/>
                <w:lang w:eastAsia="cs-CZ"/>
              </w:rPr>
              <w:t>2030</w:t>
            </w:r>
          </w:p>
        </w:tc>
        <w:tc>
          <w:tcPr>
            <w:tcW w:w="104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C5DFE46" w14:textId="77777777" w:rsidR="000654F6" w:rsidRPr="000654F6" w:rsidRDefault="000654F6" w:rsidP="000654F6">
            <w:pPr>
              <w:spacing w:after="0" w:line="276" w:lineRule="auto"/>
              <w:jc w:val="both"/>
              <w:rPr>
                <w:rFonts w:ascii="Times New Roman" w:eastAsia="Times New Roman" w:hAnsi="Times New Roman" w:cs="Times New Roman"/>
                <w:b/>
                <w:bCs/>
                <w:noProof/>
                <w:color w:val="000000"/>
                <w:lang w:eastAsia="cs-CZ"/>
              </w:rPr>
            </w:pPr>
            <w:r w:rsidRPr="000654F6">
              <w:rPr>
                <w:rFonts w:ascii="Times New Roman" w:eastAsia="Times New Roman" w:hAnsi="Times New Roman" w:cs="Times New Roman"/>
                <w:b/>
                <w:bCs/>
                <w:noProof/>
                <w:color w:val="000000"/>
                <w:lang w:eastAsia="cs-CZ"/>
              </w:rPr>
              <w:t>2040</w:t>
            </w:r>
          </w:p>
        </w:tc>
        <w:tc>
          <w:tcPr>
            <w:tcW w:w="1046"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CF0BFCF" w14:textId="77777777" w:rsidR="000654F6" w:rsidRPr="000654F6" w:rsidRDefault="000654F6" w:rsidP="000654F6">
            <w:pPr>
              <w:spacing w:after="0" w:line="276" w:lineRule="auto"/>
              <w:jc w:val="both"/>
              <w:rPr>
                <w:rFonts w:ascii="Times New Roman" w:eastAsia="Times New Roman" w:hAnsi="Times New Roman" w:cs="Times New Roman"/>
                <w:b/>
                <w:bCs/>
                <w:noProof/>
                <w:color w:val="000000"/>
                <w:lang w:eastAsia="cs-CZ"/>
              </w:rPr>
            </w:pPr>
            <w:r w:rsidRPr="000654F6">
              <w:rPr>
                <w:rFonts w:ascii="Times New Roman" w:eastAsia="Times New Roman" w:hAnsi="Times New Roman" w:cs="Times New Roman"/>
                <w:b/>
                <w:bCs/>
                <w:noProof/>
                <w:color w:val="000000"/>
                <w:lang w:eastAsia="cs-CZ"/>
              </w:rPr>
              <w:t>2050</w:t>
            </w:r>
          </w:p>
        </w:tc>
      </w:tr>
      <w:tr w:rsidR="000654F6" w:rsidRPr="000654F6" w14:paraId="33F6EA65" w14:textId="77777777" w:rsidTr="00582805">
        <w:trPr>
          <w:trHeight w:val="295"/>
        </w:trPr>
        <w:tc>
          <w:tcPr>
            <w:tcW w:w="5524" w:type="dxa"/>
            <w:tcBorders>
              <w:top w:val="nil"/>
              <w:left w:val="single" w:sz="4" w:space="0" w:color="auto"/>
              <w:right w:val="single" w:sz="4" w:space="0" w:color="auto"/>
            </w:tcBorders>
            <w:shd w:val="clear" w:color="auto" w:fill="auto"/>
            <w:noWrap/>
            <w:vAlign w:val="bottom"/>
            <w:hideMark/>
          </w:tcPr>
          <w:p w14:paraId="4723A8B8" w14:textId="77777777" w:rsidR="000654F6" w:rsidRPr="000654F6" w:rsidRDefault="000654F6" w:rsidP="000654F6">
            <w:pPr>
              <w:spacing w:after="0" w:line="276" w:lineRule="auto"/>
              <w:jc w:val="both"/>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konečná spotřeba energie v daném roce [PJ]</w:t>
            </w:r>
          </w:p>
        </w:tc>
        <w:tc>
          <w:tcPr>
            <w:tcW w:w="1045" w:type="dxa"/>
            <w:tcBorders>
              <w:top w:val="nil"/>
              <w:left w:val="nil"/>
              <w:right w:val="single" w:sz="4" w:space="0" w:color="auto"/>
            </w:tcBorders>
            <w:shd w:val="clear" w:color="auto" w:fill="auto"/>
            <w:vAlign w:val="bottom"/>
            <w:hideMark/>
          </w:tcPr>
          <w:p w14:paraId="3E0C835F"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373</w:t>
            </w:r>
          </w:p>
        </w:tc>
        <w:tc>
          <w:tcPr>
            <w:tcW w:w="1045" w:type="dxa"/>
            <w:tcBorders>
              <w:top w:val="nil"/>
              <w:left w:val="nil"/>
              <w:right w:val="single" w:sz="4" w:space="0" w:color="auto"/>
            </w:tcBorders>
            <w:shd w:val="clear" w:color="auto" w:fill="auto"/>
            <w:vAlign w:val="bottom"/>
            <w:hideMark/>
          </w:tcPr>
          <w:p w14:paraId="011895E7"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345</w:t>
            </w:r>
          </w:p>
        </w:tc>
        <w:tc>
          <w:tcPr>
            <w:tcW w:w="1045" w:type="dxa"/>
            <w:tcBorders>
              <w:top w:val="nil"/>
              <w:left w:val="nil"/>
              <w:right w:val="single" w:sz="4" w:space="0" w:color="auto"/>
            </w:tcBorders>
            <w:shd w:val="clear" w:color="auto" w:fill="auto"/>
            <w:vAlign w:val="bottom"/>
            <w:hideMark/>
          </w:tcPr>
          <w:p w14:paraId="273B6FD9"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316</w:t>
            </w:r>
          </w:p>
        </w:tc>
        <w:tc>
          <w:tcPr>
            <w:tcW w:w="1046" w:type="dxa"/>
            <w:tcBorders>
              <w:top w:val="nil"/>
              <w:left w:val="nil"/>
              <w:right w:val="single" w:sz="4" w:space="0" w:color="auto"/>
            </w:tcBorders>
            <w:shd w:val="clear" w:color="auto" w:fill="auto"/>
            <w:vAlign w:val="bottom"/>
            <w:hideMark/>
          </w:tcPr>
          <w:p w14:paraId="2E3EA2C3"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289</w:t>
            </w:r>
          </w:p>
        </w:tc>
      </w:tr>
      <w:tr w:rsidR="000654F6" w:rsidRPr="000654F6" w14:paraId="1C876B95" w14:textId="77777777" w:rsidTr="00582805">
        <w:trPr>
          <w:trHeight w:val="295"/>
        </w:trPr>
        <w:tc>
          <w:tcPr>
            <w:tcW w:w="5524" w:type="dxa"/>
            <w:tcBorders>
              <w:top w:val="nil"/>
              <w:left w:val="single" w:sz="4" w:space="0" w:color="auto"/>
              <w:right w:val="single" w:sz="4" w:space="0" w:color="auto"/>
            </w:tcBorders>
            <w:shd w:val="clear" w:color="auto" w:fill="auto"/>
            <w:noWrap/>
            <w:vAlign w:val="bottom"/>
            <w:hideMark/>
          </w:tcPr>
          <w:p w14:paraId="228AF4D4" w14:textId="77777777" w:rsidR="000654F6" w:rsidRPr="000654F6" w:rsidRDefault="000654F6" w:rsidP="000654F6">
            <w:pPr>
              <w:spacing w:after="0" w:line="276" w:lineRule="auto"/>
              <w:jc w:val="both"/>
              <w:rPr>
                <w:rFonts w:ascii="Times New Roman" w:eastAsia="Times New Roman" w:hAnsi="Times New Roman" w:cs="Times New Roman"/>
                <w:bCs/>
                <w:i/>
                <w:noProof/>
                <w:color w:val="000000"/>
                <w:lang w:eastAsia="cs-CZ"/>
              </w:rPr>
            </w:pPr>
            <w:r w:rsidRPr="000654F6">
              <w:rPr>
                <w:rFonts w:ascii="Times New Roman" w:eastAsia="Times New Roman" w:hAnsi="Times New Roman" w:cs="Times New Roman"/>
                <w:bCs/>
                <w:i/>
                <w:noProof/>
                <w:color w:val="000000"/>
                <w:lang w:eastAsia="cs-CZ"/>
              </w:rPr>
              <w:t>rodinné domy</w:t>
            </w:r>
          </w:p>
        </w:tc>
        <w:tc>
          <w:tcPr>
            <w:tcW w:w="1045" w:type="dxa"/>
            <w:tcBorders>
              <w:top w:val="nil"/>
              <w:left w:val="nil"/>
              <w:right w:val="nil"/>
            </w:tcBorders>
            <w:shd w:val="clear" w:color="auto" w:fill="auto"/>
            <w:vAlign w:val="bottom"/>
            <w:hideMark/>
          </w:tcPr>
          <w:p w14:paraId="47DF39D3" w14:textId="77777777" w:rsidR="000654F6" w:rsidRPr="000654F6" w:rsidRDefault="000654F6" w:rsidP="000654F6">
            <w:pPr>
              <w:spacing w:after="0" w:line="276" w:lineRule="auto"/>
              <w:jc w:val="right"/>
              <w:rPr>
                <w:rFonts w:ascii="Times New Roman" w:eastAsia="Times New Roman" w:hAnsi="Times New Roman" w:cs="Times New Roman"/>
                <w:bCs/>
                <w:i/>
                <w:noProof/>
                <w:color w:val="000000"/>
                <w:lang w:eastAsia="cs-CZ"/>
              </w:rPr>
            </w:pPr>
            <w:r w:rsidRPr="000654F6">
              <w:rPr>
                <w:rFonts w:ascii="Times New Roman" w:eastAsia="Times New Roman" w:hAnsi="Times New Roman" w:cs="Times New Roman"/>
                <w:bCs/>
                <w:i/>
                <w:noProof/>
                <w:color w:val="000000"/>
                <w:lang w:eastAsia="cs-CZ"/>
              </w:rPr>
              <w:t>161</w:t>
            </w:r>
          </w:p>
        </w:tc>
        <w:tc>
          <w:tcPr>
            <w:tcW w:w="1045" w:type="dxa"/>
            <w:tcBorders>
              <w:top w:val="nil"/>
              <w:left w:val="single" w:sz="4" w:space="0" w:color="auto"/>
              <w:right w:val="nil"/>
            </w:tcBorders>
            <w:shd w:val="clear" w:color="auto" w:fill="auto"/>
            <w:vAlign w:val="bottom"/>
            <w:hideMark/>
          </w:tcPr>
          <w:p w14:paraId="59BA3CD0" w14:textId="77777777" w:rsidR="000654F6" w:rsidRPr="000654F6" w:rsidRDefault="000654F6" w:rsidP="000654F6">
            <w:pPr>
              <w:spacing w:after="0" w:line="276" w:lineRule="auto"/>
              <w:jc w:val="right"/>
              <w:rPr>
                <w:rFonts w:ascii="Times New Roman" w:eastAsia="Times New Roman" w:hAnsi="Times New Roman" w:cs="Times New Roman"/>
                <w:bCs/>
                <w:i/>
                <w:noProof/>
                <w:color w:val="000000"/>
                <w:lang w:eastAsia="cs-CZ"/>
              </w:rPr>
            </w:pPr>
            <w:r w:rsidRPr="000654F6">
              <w:rPr>
                <w:rFonts w:ascii="Times New Roman" w:eastAsia="Times New Roman" w:hAnsi="Times New Roman" w:cs="Times New Roman"/>
                <w:bCs/>
                <w:i/>
                <w:noProof/>
                <w:color w:val="000000"/>
                <w:lang w:eastAsia="cs-CZ"/>
              </w:rPr>
              <w:t>149</w:t>
            </w:r>
          </w:p>
        </w:tc>
        <w:tc>
          <w:tcPr>
            <w:tcW w:w="1045" w:type="dxa"/>
            <w:tcBorders>
              <w:top w:val="nil"/>
              <w:left w:val="single" w:sz="4" w:space="0" w:color="auto"/>
              <w:right w:val="nil"/>
            </w:tcBorders>
            <w:shd w:val="clear" w:color="auto" w:fill="auto"/>
            <w:vAlign w:val="bottom"/>
            <w:hideMark/>
          </w:tcPr>
          <w:p w14:paraId="58BBE1F6" w14:textId="77777777" w:rsidR="000654F6" w:rsidRPr="000654F6" w:rsidRDefault="000654F6" w:rsidP="000654F6">
            <w:pPr>
              <w:spacing w:after="0" w:line="276" w:lineRule="auto"/>
              <w:jc w:val="right"/>
              <w:rPr>
                <w:rFonts w:ascii="Times New Roman" w:eastAsia="Times New Roman" w:hAnsi="Times New Roman" w:cs="Times New Roman"/>
                <w:bCs/>
                <w:i/>
                <w:noProof/>
                <w:color w:val="000000"/>
                <w:lang w:eastAsia="cs-CZ"/>
              </w:rPr>
            </w:pPr>
            <w:r w:rsidRPr="000654F6">
              <w:rPr>
                <w:rFonts w:ascii="Times New Roman" w:eastAsia="Times New Roman" w:hAnsi="Times New Roman" w:cs="Times New Roman"/>
                <w:bCs/>
                <w:i/>
                <w:noProof/>
                <w:color w:val="000000"/>
                <w:lang w:eastAsia="cs-CZ"/>
              </w:rPr>
              <w:t>136</w:t>
            </w:r>
          </w:p>
        </w:tc>
        <w:tc>
          <w:tcPr>
            <w:tcW w:w="1046" w:type="dxa"/>
            <w:tcBorders>
              <w:top w:val="nil"/>
              <w:left w:val="single" w:sz="4" w:space="0" w:color="auto"/>
              <w:right w:val="single" w:sz="4" w:space="0" w:color="auto"/>
            </w:tcBorders>
            <w:shd w:val="clear" w:color="auto" w:fill="auto"/>
            <w:vAlign w:val="bottom"/>
            <w:hideMark/>
          </w:tcPr>
          <w:p w14:paraId="3AD87182" w14:textId="77777777" w:rsidR="000654F6" w:rsidRPr="000654F6" w:rsidRDefault="000654F6" w:rsidP="000654F6">
            <w:pPr>
              <w:spacing w:after="0" w:line="276" w:lineRule="auto"/>
              <w:jc w:val="right"/>
              <w:rPr>
                <w:rFonts w:ascii="Times New Roman" w:eastAsia="Times New Roman" w:hAnsi="Times New Roman" w:cs="Times New Roman"/>
                <w:bCs/>
                <w:i/>
                <w:noProof/>
                <w:color w:val="000000"/>
                <w:lang w:eastAsia="cs-CZ"/>
              </w:rPr>
            </w:pPr>
            <w:r w:rsidRPr="000654F6">
              <w:rPr>
                <w:rFonts w:ascii="Times New Roman" w:eastAsia="Times New Roman" w:hAnsi="Times New Roman" w:cs="Times New Roman"/>
                <w:bCs/>
                <w:i/>
                <w:noProof/>
                <w:color w:val="000000"/>
                <w:lang w:eastAsia="cs-CZ"/>
              </w:rPr>
              <w:t>123</w:t>
            </w:r>
          </w:p>
        </w:tc>
      </w:tr>
      <w:tr w:rsidR="000654F6" w:rsidRPr="000654F6" w14:paraId="02DF7F44" w14:textId="77777777" w:rsidTr="00582805">
        <w:trPr>
          <w:trHeight w:val="283"/>
        </w:trPr>
        <w:tc>
          <w:tcPr>
            <w:tcW w:w="5524" w:type="dxa"/>
            <w:tcBorders>
              <w:left w:val="single" w:sz="4" w:space="0" w:color="auto"/>
              <w:bottom w:val="nil"/>
              <w:right w:val="single" w:sz="4" w:space="0" w:color="auto"/>
            </w:tcBorders>
            <w:shd w:val="clear" w:color="auto" w:fill="auto"/>
            <w:noWrap/>
            <w:vAlign w:val="bottom"/>
            <w:hideMark/>
          </w:tcPr>
          <w:p w14:paraId="1237076D" w14:textId="77777777" w:rsidR="000654F6" w:rsidRPr="000654F6" w:rsidRDefault="000654F6" w:rsidP="000654F6">
            <w:pPr>
              <w:spacing w:after="0" w:line="276" w:lineRule="auto"/>
              <w:jc w:val="both"/>
              <w:rPr>
                <w:rFonts w:ascii="Times New Roman" w:eastAsia="Times New Roman" w:hAnsi="Times New Roman" w:cs="Times New Roman"/>
                <w:bCs/>
                <w:i/>
                <w:noProof/>
                <w:color w:val="000000"/>
                <w:lang w:eastAsia="cs-CZ"/>
              </w:rPr>
            </w:pPr>
            <w:r w:rsidRPr="000654F6">
              <w:rPr>
                <w:rFonts w:ascii="Times New Roman" w:eastAsia="Times New Roman" w:hAnsi="Times New Roman" w:cs="Times New Roman"/>
                <w:bCs/>
                <w:i/>
                <w:noProof/>
                <w:color w:val="000000"/>
                <w:lang w:eastAsia="cs-CZ"/>
              </w:rPr>
              <w:t>bytové domy</w:t>
            </w:r>
          </w:p>
        </w:tc>
        <w:tc>
          <w:tcPr>
            <w:tcW w:w="1045" w:type="dxa"/>
            <w:tcBorders>
              <w:left w:val="nil"/>
              <w:bottom w:val="nil"/>
              <w:right w:val="nil"/>
            </w:tcBorders>
            <w:shd w:val="clear" w:color="auto" w:fill="auto"/>
            <w:vAlign w:val="bottom"/>
            <w:hideMark/>
          </w:tcPr>
          <w:p w14:paraId="6424A155" w14:textId="77777777" w:rsidR="000654F6" w:rsidRPr="000654F6" w:rsidRDefault="000654F6" w:rsidP="000654F6">
            <w:pPr>
              <w:spacing w:after="0" w:line="276" w:lineRule="auto"/>
              <w:jc w:val="right"/>
              <w:rPr>
                <w:rFonts w:ascii="Times New Roman" w:eastAsia="Times New Roman" w:hAnsi="Times New Roman" w:cs="Times New Roman"/>
                <w:bCs/>
                <w:i/>
                <w:noProof/>
                <w:color w:val="000000"/>
                <w:lang w:eastAsia="cs-CZ"/>
              </w:rPr>
            </w:pPr>
            <w:r w:rsidRPr="000654F6">
              <w:rPr>
                <w:rFonts w:ascii="Times New Roman" w:eastAsia="Times New Roman" w:hAnsi="Times New Roman" w:cs="Times New Roman"/>
                <w:bCs/>
                <w:i/>
                <w:noProof/>
                <w:color w:val="000000"/>
                <w:lang w:eastAsia="cs-CZ"/>
              </w:rPr>
              <w:t>88</w:t>
            </w:r>
          </w:p>
        </w:tc>
        <w:tc>
          <w:tcPr>
            <w:tcW w:w="1045" w:type="dxa"/>
            <w:tcBorders>
              <w:left w:val="single" w:sz="4" w:space="0" w:color="auto"/>
              <w:bottom w:val="nil"/>
              <w:right w:val="nil"/>
            </w:tcBorders>
            <w:shd w:val="clear" w:color="auto" w:fill="auto"/>
            <w:vAlign w:val="bottom"/>
            <w:hideMark/>
          </w:tcPr>
          <w:p w14:paraId="6C4E37AE" w14:textId="77777777" w:rsidR="000654F6" w:rsidRPr="000654F6" w:rsidRDefault="000654F6" w:rsidP="000654F6">
            <w:pPr>
              <w:spacing w:after="0" w:line="276" w:lineRule="auto"/>
              <w:jc w:val="right"/>
              <w:rPr>
                <w:rFonts w:ascii="Times New Roman" w:eastAsia="Times New Roman" w:hAnsi="Times New Roman" w:cs="Times New Roman"/>
                <w:bCs/>
                <w:i/>
                <w:noProof/>
                <w:color w:val="000000"/>
                <w:lang w:eastAsia="cs-CZ"/>
              </w:rPr>
            </w:pPr>
            <w:r w:rsidRPr="000654F6">
              <w:rPr>
                <w:rFonts w:ascii="Times New Roman" w:eastAsia="Times New Roman" w:hAnsi="Times New Roman" w:cs="Times New Roman"/>
                <w:bCs/>
                <w:i/>
                <w:noProof/>
                <w:color w:val="000000"/>
                <w:lang w:eastAsia="cs-CZ"/>
              </w:rPr>
              <w:t>83</w:t>
            </w:r>
          </w:p>
        </w:tc>
        <w:tc>
          <w:tcPr>
            <w:tcW w:w="1045" w:type="dxa"/>
            <w:tcBorders>
              <w:left w:val="single" w:sz="4" w:space="0" w:color="auto"/>
              <w:bottom w:val="nil"/>
              <w:right w:val="nil"/>
            </w:tcBorders>
            <w:shd w:val="clear" w:color="auto" w:fill="auto"/>
            <w:vAlign w:val="bottom"/>
            <w:hideMark/>
          </w:tcPr>
          <w:p w14:paraId="0FBB0D71" w14:textId="77777777" w:rsidR="000654F6" w:rsidRPr="000654F6" w:rsidRDefault="000654F6" w:rsidP="000654F6">
            <w:pPr>
              <w:spacing w:after="0" w:line="276" w:lineRule="auto"/>
              <w:jc w:val="right"/>
              <w:rPr>
                <w:rFonts w:ascii="Times New Roman" w:eastAsia="Times New Roman" w:hAnsi="Times New Roman" w:cs="Times New Roman"/>
                <w:bCs/>
                <w:i/>
                <w:noProof/>
                <w:color w:val="000000"/>
                <w:lang w:eastAsia="cs-CZ"/>
              </w:rPr>
            </w:pPr>
            <w:r w:rsidRPr="000654F6">
              <w:rPr>
                <w:rFonts w:ascii="Times New Roman" w:eastAsia="Times New Roman" w:hAnsi="Times New Roman" w:cs="Times New Roman"/>
                <w:bCs/>
                <w:i/>
                <w:noProof/>
                <w:color w:val="000000"/>
                <w:lang w:eastAsia="cs-CZ"/>
              </w:rPr>
              <w:t>78</w:t>
            </w:r>
          </w:p>
        </w:tc>
        <w:tc>
          <w:tcPr>
            <w:tcW w:w="1046" w:type="dxa"/>
            <w:tcBorders>
              <w:left w:val="single" w:sz="4" w:space="0" w:color="auto"/>
              <w:bottom w:val="nil"/>
              <w:right w:val="single" w:sz="4" w:space="0" w:color="auto"/>
            </w:tcBorders>
            <w:shd w:val="clear" w:color="auto" w:fill="auto"/>
            <w:vAlign w:val="bottom"/>
            <w:hideMark/>
          </w:tcPr>
          <w:p w14:paraId="15FF6C03" w14:textId="77777777" w:rsidR="000654F6" w:rsidRPr="000654F6" w:rsidRDefault="000654F6" w:rsidP="000654F6">
            <w:pPr>
              <w:spacing w:after="0" w:line="276" w:lineRule="auto"/>
              <w:jc w:val="right"/>
              <w:rPr>
                <w:rFonts w:ascii="Times New Roman" w:eastAsia="Times New Roman" w:hAnsi="Times New Roman" w:cs="Times New Roman"/>
                <w:bCs/>
                <w:i/>
                <w:noProof/>
                <w:color w:val="000000"/>
                <w:lang w:eastAsia="cs-CZ"/>
              </w:rPr>
            </w:pPr>
            <w:r w:rsidRPr="000654F6">
              <w:rPr>
                <w:rFonts w:ascii="Times New Roman" w:eastAsia="Times New Roman" w:hAnsi="Times New Roman" w:cs="Times New Roman"/>
                <w:bCs/>
                <w:i/>
                <w:noProof/>
                <w:color w:val="000000"/>
                <w:lang w:eastAsia="cs-CZ"/>
              </w:rPr>
              <w:t>73</w:t>
            </w:r>
          </w:p>
        </w:tc>
      </w:tr>
      <w:tr w:rsidR="000654F6" w:rsidRPr="000654F6" w14:paraId="4D9E21D0" w14:textId="77777777" w:rsidTr="00582805">
        <w:trPr>
          <w:trHeight w:val="283"/>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32214D1" w14:textId="77777777" w:rsidR="000654F6" w:rsidRPr="000654F6" w:rsidRDefault="000654F6" w:rsidP="000654F6">
            <w:pPr>
              <w:spacing w:after="0" w:line="276" w:lineRule="auto"/>
              <w:jc w:val="both"/>
              <w:rPr>
                <w:rFonts w:ascii="Times New Roman" w:eastAsia="Times New Roman" w:hAnsi="Times New Roman" w:cs="Times New Roman"/>
                <w:bCs/>
                <w:i/>
                <w:noProof/>
                <w:color w:val="000000"/>
                <w:lang w:eastAsia="cs-CZ"/>
              </w:rPr>
            </w:pPr>
            <w:r w:rsidRPr="000654F6">
              <w:rPr>
                <w:rFonts w:ascii="Times New Roman" w:eastAsia="Times New Roman" w:hAnsi="Times New Roman" w:cs="Times New Roman"/>
                <w:bCs/>
                <w:i/>
                <w:noProof/>
                <w:color w:val="000000"/>
                <w:lang w:eastAsia="cs-CZ"/>
              </w:rPr>
              <w:t>veřejné a komerční budovy</w:t>
            </w:r>
          </w:p>
        </w:tc>
        <w:tc>
          <w:tcPr>
            <w:tcW w:w="1045" w:type="dxa"/>
            <w:tcBorders>
              <w:top w:val="nil"/>
              <w:left w:val="nil"/>
              <w:bottom w:val="single" w:sz="4" w:space="0" w:color="auto"/>
              <w:right w:val="nil"/>
            </w:tcBorders>
            <w:shd w:val="clear" w:color="auto" w:fill="auto"/>
            <w:vAlign w:val="bottom"/>
            <w:hideMark/>
          </w:tcPr>
          <w:p w14:paraId="5D8569D9"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124</w:t>
            </w:r>
          </w:p>
        </w:tc>
        <w:tc>
          <w:tcPr>
            <w:tcW w:w="1045" w:type="dxa"/>
            <w:tcBorders>
              <w:top w:val="nil"/>
              <w:left w:val="single" w:sz="4" w:space="0" w:color="auto"/>
              <w:bottom w:val="single" w:sz="4" w:space="0" w:color="auto"/>
              <w:right w:val="nil"/>
            </w:tcBorders>
            <w:shd w:val="clear" w:color="auto" w:fill="auto"/>
            <w:vAlign w:val="bottom"/>
            <w:hideMark/>
          </w:tcPr>
          <w:p w14:paraId="623A8518"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113</w:t>
            </w:r>
          </w:p>
        </w:tc>
        <w:tc>
          <w:tcPr>
            <w:tcW w:w="1045" w:type="dxa"/>
            <w:tcBorders>
              <w:top w:val="nil"/>
              <w:left w:val="single" w:sz="4" w:space="0" w:color="auto"/>
              <w:bottom w:val="single" w:sz="4" w:space="0" w:color="auto"/>
              <w:right w:val="nil"/>
            </w:tcBorders>
            <w:shd w:val="clear" w:color="auto" w:fill="auto"/>
            <w:vAlign w:val="bottom"/>
            <w:hideMark/>
          </w:tcPr>
          <w:p w14:paraId="7A10CCB2"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102</w:t>
            </w:r>
          </w:p>
        </w:tc>
        <w:tc>
          <w:tcPr>
            <w:tcW w:w="1046" w:type="dxa"/>
            <w:tcBorders>
              <w:top w:val="nil"/>
              <w:left w:val="single" w:sz="4" w:space="0" w:color="auto"/>
              <w:bottom w:val="single" w:sz="4" w:space="0" w:color="auto"/>
              <w:right w:val="single" w:sz="4" w:space="0" w:color="auto"/>
            </w:tcBorders>
            <w:shd w:val="clear" w:color="auto" w:fill="auto"/>
            <w:vAlign w:val="bottom"/>
            <w:hideMark/>
          </w:tcPr>
          <w:p w14:paraId="7189C6D7"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93</w:t>
            </w:r>
          </w:p>
        </w:tc>
      </w:tr>
      <w:tr w:rsidR="000654F6" w:rsidRPr="000654F6" w14:paraId="09F92FAE" w14:textId="77777777" w:rsidTr="00582805">
        <w:trPr>
          <w:trHeight w:val="283"/>
        </w:trPr>
        <w:tc>
          <w:tcPr>
            <w:tcW w:w="5524" w:type="dxa"/>
            <w:tcBorders>
              <w:top w:val="nil"/>
              <w:left w:val="single" w:sz="4" w:space="0" w:color="auto"/>
              <w:bottom w:val="nil"/>
              <w:right w:val="single" w:sz="4" w:space="0" w:color="auto"/>
            </w:tcBorders>
            <w:shd w:val="clear" w:color="auto" w:fill="auto"/>
            <w:noWrap/>
            <w:vAlign w:val="bottom"/>
            <w:hideMark/>
          </w:tcPr>
          <w:p w14:paraId="4683FE35" w14:textId="77777777" w:rsidR="000654F6" w:rsidRPr="000654F6" w:rsidRDefault="000654F6" w:rsidP="000654F6">
            <w:pPr>
              <w:spacing w:after="0" w:line="276" w:lineRule="auto"/>
              <w:jc w:val="both"/>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úspora energie oproti výchozímu stavu 378 PJ [PJ]</w:t>
            </w:r>
          </w:p>
        </w:tc>
        <w:tc>
          <w:tcPr>
            <w:tcW w:w="1045" w:type="dxa"/>
            <w:tcBorders>
              <w:top w:val="nil"/>
              <w:left w:val="nil"/>
              <w:bottom w:val="nil"/>
              <w:right w:val="nil"/>
            </w:tcBorders>
            <w:shd w:val="clear" w:color="auto" w:fill="auto"/>
            <w:vAlign w:val="bottom"/>
            <w:hideMark/>
          </w:tcPr>
          <w:p w14:paraId="50BC0255"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-5</w:t>
            </w:r>
          </w:p>
        </w:tc>
        <w:tc>
          <w:tcPr>
            <w:tcW w:w="1045" w:type="dxa"/>
            <w:tcBorders>
              <w:top w:val="nil"/>
              <w:left w:val="single" w:sz="4" w:space="0" w:color="auto"/>
              <w:bottom w:val="nil"/>
              <w:right w:val="nil"/>
            </w:tcBorders>
            <w:shd w:val="clear" w:color="auto" w:fill="auto"/>
            <w:vAlign w:val="bottom"/>
            <w:hideMark/>
          </w:tcPr>
          <w:p w14:paraId="57B250DE"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-33</w:t>
            </w:r>
          </w:p>
        </w:tc>
        <w:tc>
          <w:tcPr>
            <w:tcW w:w="1045" w:type="dxa"/>
            <w:tcBorders>
              <w:top w:val="nil"/>
              <w:left w:val="single" w:sz="4" w:space="0" w:color="auto"/>
              <w:bottom w:val="nil"/>
              <w:right w:val="nil"/>
            </w:tcBorders>
            <w:shd w:val="clear" w:color="auto" w:fill="auto"/>
            <w:vAlign w:val="bottom"/>
            <w:hideMark/>
          </w:tcPr>
          <w:p w14:paraId="6ED53441"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-62</w:t>
            </w:r>
          </w:p>
        </w:tc>
        <w:tc>
          <w:tcPr>
            <w:tcW w:w="1046" w:type="dxa"/>
            <w:tcBorders>
              <w:top w:val="nil"/>
              <w:left w:val="single" w:sz="4" w:space="0" w:color="auto"/>
              <w:bottom w:val="nil"/>
              <w:right w:val="single" w:sz="4" w:space="0" w:color="auto"/>
            </w:tcBorders>
            <w:shd w:val="clear" w:color="auto" w:fill="auto"/>
            <w:vAlign w:val="bottom"/>
            <w:hideMark/>
          </w:tcPr>
          <w:p w14:paraId="04429921"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-89</w:t>
            </w:r>
          </w:p>
        </w:tc>
      </w:tr>
      <w:tr w:rsidR="000654F6" w:rsidRPr="000654F6" w14:paraId="1CD157A1" w14:textId="77777777" w:rsidTr="00582805">
        <w:trPr>
          <w:trHeight w:val="283"/>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6CB87" w14:textId="77777777" w:rsidR="000654F6" w:rsidRPr="000654F6" w:rsidRDefault="000654F6" w:rsidP="000654F6">
            <w:pPr>
              <w:spacing w:after="0" w:line="276" w:lineRule="auto"/>
              <w:jc w:val="both"/>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investiční náklady v daném roce [mld. Kč]</w:t>
            </w:r>
          </w:p>
        </w:tc>
        <w:tc>
          <w:tcPr>
            <w:tcW w:w="1045" w:type="dxa"/>
            <w:tcBorders>
              <w:top w:val="single" w:sz="4" w:space="0" w:color="auto"/>
              <w:left w:val="nil"/>
              <w:bottom w:val="single" w:sz="4" w:space="0" w:color="auto"/>
              <w:right w:val="nil"/>
            </w:tcBorders>
            <w:shd w:val="clear" w:color="auto" w:fill="auto"/>
            <w:vAlign w:val="bottom"/>
            <w:hideMark/>
          </w:tcPr>
          <w:p w14:paraId="14DABF0E"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24</w:t>
            </w:r>
          </w:p>
        </w:tc>
        <w:tc>
          <w:tcPr>
            <w:tcW w:w="1045" w:type="dxa"/>
            <w:tcBorders>
              <w:top w:val="single" w:sz="4" w:space="0" w:color="auto"/>
              <w:left w:val="single" w:sz="4" w:space="0" w:color="auto"/>
              <w:bottom w:val="single" w:sz="4" w:space="0" w:color="auto"/>
              <w:right w:val="nil"/>
            </w:tcBorders>
            <w:shd w:val="clear" w:color="auto" w:fill="auto"/>
            <w:vAlign w:val="bottom"/>
            <w:hideMark/>
          </w:tcPr>
          <w:p w14:paraId="26E03ABA"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26</w:t>
            </w:r>
          </w:p>
        </w:tc>
        <w:tc>
          <w:tcPr>
            <w:tcW w:w="1045" w:type="dxa"/>
            <w:tcBorders>
              <w:top w:val="single" w:sz="4" w:space="0" w:color="auto"/>
              <w:left w:val="single" w:sz="4" w:space="0" w:color="auto"/>
              <w:bottom w:val="single" w:sz="4" w:space="0" w:color="auto"/>
              <w:right w:val="nil"/>
            </w:tcBorders>
            <w:shd w:val="clear" w:color="auto" w:fill="auto"/>
            <w:vAlign w:val="bottom"/>
            <w:hideMark/>
          </w:tcPr>
          <w:p w14:paraId="0339C5B8"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28</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62D6A5"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23</w:t>
            </w:r>
          </w:p>
        </w:tc>
      </w:tr>
      <w:tr w:rsidR="000654F6" w:rsidRPr="000654F6" w14:paraId="3E934D1A" w14:textId="77777777" w:rsidTr="00582805">
        <w:trPr>
          <w:trHeight w:val="283"/>
        </w:trPr>
        <w:tc>
          <w:tcPr>
            <w:tcW w:w="5524" w:type="dxa"/>
            <w:tcBorders>
              <w:top w:val="nil"/>
              <w:left w:val="single" w:sz="4" w:space="0" w:color="auto"/>
              <w:bottom w:val="nil"/>
              <w:right w:val="single" w:sz="4" w:space="0" w:color="auto"/>
            </w:tcBorders>
            <w:shd w:val="clear" w:color="auto" w:fill="auto"/>
            <w:noWrap/>
            <w:vAlign w:val="bottom"/>
            <w:hideMark/>
          </w:tcPr>
          <w:p w14:paraId="261B843F" w14:textId="77777777" w:rsidR="000654F6" w:rsidRPr="000654F6" w:rsidRDefault="000654F6" w:rsidP="000654F6">
            <w:pPr>
              <w:spacing w:after="0" w:line="276" w:lineRule="auto"/>
              <w:jc w:val="both"/>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lastRenderedPageBreak/>
              <w:t>kumulativní investiční náklady [mld. Kč]</w:t>
            </w:r>
          </w:p>
        </w:tc>
        <w:tc>
          <w:tcPr>
            <w:tcW w:w="1045" w:type="dxa"/>
            <w:tcBorders>
              <w:top w:val="nil"/>
              <w:left w:val="nil"/>
              <w:bottom w:val="nil"/>
              <w:right w:val="nil"/>
            </w:tcBorders>
            <w:shd w:val="clear" w:color="auto" w:fill="auto"/>
            <w:vAlign w:val="bottom"/>
            <w:hideMark/>
          </w:tcPr>
          <w:p w14:paraId="08AD26AD"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93</w:t>
            </w:r>
          </w:p>
        </w:tc>
        <w:tc>
          <w:tcPr>
            <w:tcW w:w="1045" w:type="dxa"/>
            <w:tcBorders>
              <w:top w:val="nil"/>
              <w:left w:val="single" w:sz="4" w:space="0" w:color="auto"/>
              <w:bottom w:val="nil"/>
              <w:right w:val="nil"/>
            </w:tcBorders>
            <w:shd w:val="clear" w:color="auto" w:fill="auto"/>
            <w:vAlign w:val="bottom"/>
            <w:hideMark/>
          </w:tcPr>
          <w:p w14:paraId="75B180C1"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356</w:t>
            </w:r>
          </w:p>
        </w:tc>
        <w:tc>
          <w:tcPr>
            <w:tcW w:w="1045" w:type="dxa"/>
            <w:tcBorders>
              <w:top w:val="nil"/>
              <w:left w:val="single" w:sz="4" w:space="0" w:color="auto"/>
              <w:bottom w:val="nil"/>
              <w:right w:val="nil"/>
            </w:tcBorders>
            <w:shd w:val="clear" w:color="auto" w:fill="auto"/>
            <w:vAlign w:val="bottom"/>
            <w:hideMark/>
          </w:tcPr>
          <w:p w14:paraId="35A55803"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614</w:t>
            </w:r>
          </w:p>
        </w:tc>
        <w:tc>
          <w:tcPr>
            <w:tcW w:w="1046" w:type="dxa"/>
            <w:tcBorders>
              <w:top w:val="nil"/>
              <w:left w:val="single" w:sz="4" w:space="0" w:color="auto"/>
              <w:bottom w:val="nil"/>
              <w:right w:val="single" w:sz="4" w:space="0" w:color="auto"/>
            </w:tcBorders>
            <w:shd w:val="clear" w:color="auto" w:fill="auto"/>
            <w:vAlign w:val="bottom"/>
            <w:hideMark/>
          </w:tcPr>
          <w:p w14:paraId="232E3426"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856</w:t>
            </w:r>
          </w:p>
        </w:tc>
      </w:tr>
      <w:tr w:rsidR="000654F6" w:rsidRPr="000654F6" w14:paraId="6B49F827" w14:textId="77777777" w:rsidTr="00582805">
        <w:trPr>
          <w:trHeight w:val="283"/>
        </w:trPr>
        <w:tc>
          <w:tcPr>
            <w:tcW w:w="5524" w:type="dxa"/>
            <w:tcBorders>
              <w:top w:val="nil"/>
              <w:left w:val="single" w:sz="4" w:space="0" w:color="auto"/>
              <w:bottom w:val="nil"/>
              <w:right w:val="single" w:sz="4" w:space="0" w:color="auto"/>
            </w:tcBorders>
            <w:shd w:val="clear" w:color="auto" w:fill="auto"/>
            <w:noWrap/>
            <w:vAlign w:val="bottom"/>
            <w:hideMark/>
          </w:tcPr>
          <w:p w14:paraId="3401BA3C" w14:textId="77777777" w:rsidR="000654F6" w:rsidRPr="000654F6" w:rsidRDefault="000654F6" w:rsidP="000654F6">
            <w:pPr>
              <w:spacing w:after="0" w:line="276" w:lineRule="auto"/>
              <w:jc w:val="both"/>
              <w:rPr>
                <w:rFonts w:ascii="Times New Roman" w:eastAsia="Times New Roman" w:hAnsi="Times New Roman" w:cs="Times New Roman"/>
                <w:bCs/>
                <w:i/>
                <w:noProof/>
                <w:color w:val="000000"/>
                <w:lang w:eastAsia="cs-CZ"/>
              </w:rPr>
            </w:pPr>
            <w:r w:rsidRPr="000654F6">
              <w:rPr>
                <w:rFonts w:ascii="Times New Roman" w:eastAsia="Times New Roman" w:hAnsi="Times New Roman" w:cs="Times New Roman"/>
                <w:bCs/>
                <w:i/>
                <w:noProof/>
                <w:color w:val="000000"/>
                <w:lang w:eastAsia="cs-CZ"/>
              </w:rPr>
              <w:t>rodinné domy</w:t>
            </w:r>
          </w:p>
        </w:tc>
        <w:tc>
          <w:tcPr>
            <w:tcW w:w="1045" w:type="dxa"/>
            <w:tcBorders>
              <w:top w:val="nil"/>
              <w:left w:val="nil"/>
              <w:bottom w:val="nil"/>
              <w:right w:val="nil"/>
            </w:tcBorders>
            <w:shd w:val="clear" w:color="auto" w:fill="auto"/>
            <w:vAlign w:val="bottom"/>
            <w:hideMark/>
          </w:tcPr>
          <w:p w14:paraId="415256D4"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47</w:t>
            </w:r>
          </w:p>
        </w:tc>
        <w:tc>
          <w:tcPr>
            <w:tcW w:w="1045" w:type="dxa"/>
            <w:tcBorders>
              <w:top w:val="nil"/>
              <w:left w:val="single" w:sz="4" w:space="0" w:color="auto"/>
              <w:bottom w:val="nil"/>
              <w:right w:val="nil"/>
            </w:tcBorders>
            <w:shd w:val="clear" w:color="auto" w:fill="auto"/>
            <w:vAlign w:val="bottom"/>
            <w:hideMark/>
          </w:tcPr>
          <w:p w14:paraId="0ED9E45A"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168</w:t>
            </w:r>
          </w:p>
        </w:tc>
        <w:tc>
          <w:tcPr>
            <w:tcW w:w="1045" w:type="dxa"/>
            <w:tcBorders>
              <w:top w:val="nil"/>
              <w:left w:val="single" w:sz="4" w:space="0" w:color="auto"/>
              <w:bottom w:val="nil"/>
              <w:right w:val="nil"/>
            </w:tcBorders>
            <w:shd w:val="clear" w:color="auto" w:fill="auto"/>
            <w:vAlign w:val="bottom"/>
            <w:hideMark/>
          </w:tcPr>
          <w:p w14:paraId="581A024C"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282</w:t>
            </w:r>
          </w:p>
        </w:tc>
        <w:tc>
          <w:tcPr>
            <w:tcW w:w="1046" w:type="dxa"/>
            <w:tcBorders>
              <w:top w:val="nil"/>
              <w:left w:val="single" w:sz="4" w:space="0" w:color="auto"/>
              <w:bottom w:val="nil"/>
              <w:right w:val="single" w:sz="4" w:space="0" w:color="auto"/>
            </w:tcBorders>
            <w:shd w:val="clear" w:color="auto" w:fill="auto"/>
            <w:vAlign w:val="bottom"/>
            <w:hideMark/>
          </w:tcPr>
          <w:p w14:paraId="78D700E3"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388</w:t>
            </w:r>
          </w:p>
        </w:tc>
      </w:tr>
      <w:tr w:rsidR="000654F6" w:rsidRPr="000654F6" w14:paraId="36C9CA64" w14:textId="77777777" w:rsidTr="00582805">
        <w:trPr>
          <w:trHeight w:val="283"/>
        </w:trPr>
        <w:tc>
          <w:tcPr>
            <w:tcW w:w="5524" w:type="dxa"/>
            <w:tcBorders>
              <w:top w:val="nil"/>
              <w:left w:val="single" w:sz="4" w:space="0" w:color="auto"/>
              <w:bottom w:val="nil"/>
              <w:right w:val="single" w:sz="4" w:space="0" w:color="auto"/>
            </w:tcBorders>
            <w:shd w:val="clear" w:color="auto" w:fill="auto"/>
            <w:noWrap/>
            <w:vAlign w:val="bottom"/>
            <w:hideMark/>
          </w:tcPr>
          <w:p w14:paraId="0FC1DB65" w14:textId="77777777" w:rsidR="000654F6" w:rsidRPr="000654F6" w:rsidRDefault="000654F6" w:rsidP="000654F6">
            <w:pPr>
              <w:spacing w:after="0" w:line="276" w:lineRule="auto"/>
              <w:jc w:val="both"/>
              <w:rPr>
                <w:rFonts w:ascii="Times New Roman" w:eastAsia="Times New Roman" w:hAnsi="Times New Roman" w:cs="Times New Roman"/>
                <w:bCs/>
                <w:i/>
                <w:noProof/>
                <w:color w:val="000000"/>
                <w:lang w:eastAsia="cs-CZ"/>
              </w:rPr>
            </w:pPr>
            <w:r w:rsidRPr="000654F6">
              <w:rPr>
                <w:rFonts w:ascii="Times New Roman" w:eastAsia="Times New Roman" w:hAnsi="Times New Roman" w:cs="Times New Roman"/>
                <w:bCs/>
                <w:i/>
                <w:noProof/>
                <w:color w:val="000000"/>
                <w:lang w:eastAsia="cs-CZ"/>
              </w:rPr>
              <w:t>bytové domy</w:t>
            </w:r>
          </w:p>
        </w:tc>
        <w:tc>
          <w:tcPr>
            <w:tcW w:w="1045" w:type="dxa"/>
            <w:tcBorders>
              <w:top w:val="nil"/>
              <w:left w:val="nil"/>
              <w:bottom w:val="nil"/>
              <w:right w:val="nil"/>
            </w:tcBorders>
            <w:shd w:val="clear" w:color="auto" w:fill="auto"/>
            <w:vAlign w:val="bottom"/>
            <w:hideMark/>
          </w:tcPr>
          <w:p w14:paraId="1B0A6279"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13</w:t>
            </w:r>
          </w:p>
        </w:tc>
        <w:tc>
          <w:tcPr>
            <w:tcW w:w="1045" w:type="dxa"/>
            <w:tcBorders>
              <w:top w:val="nil"/>
              <w:left w:val="single" w:sz="4" w:space="0" w:color="auto"/>
              <w:bottom w:val="nil"/>
              <w:right w:val="nil"/>
            </w:tcBorders>
            <w:shd w:val="clear" w:color="auto" w:fill="auto"/>
            <w:vAlign w:val="bottom"/>
            <w:hideMark/>
          </w:tcPr>
          <w:p w14:paraId="787078F2"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45</w:t>
            </w:r>
          </w:p>
        </w:tc>
        <w:tc>
          <w:tcPr>
            <w:tcW w:w="1045" w:type="dxa"/>
            <w:tcBorders>
              <w:top w:val="nil"/>
              <w:left w:val="single" w:sz="4" w:space="0" w:color="auto"/>
              <w:bottom w:val="nil"/>
              <w:right w:val="nil"/>
            </w:tcBorders>
            <w:shd w:val="clear" w:color="auto" w:fill="auto"/>
            <w:vAlign w:val="bottom"/>
            <w:hideMark/>
          </w:tcPr>
          <w:p w14:paraId="0DDCD693"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76</w:t>
            </w:r>
          </w:p>
        </w:tc>
        <w:tc>
          <w:tcPr>
            <w:tcW w:w="1046" w:type="dxa"/>
            <w:tcBorders>
              <w:top w:val="nil"/>
              <w:left w:val="single" w:sz="4" w:space="0" w:color="auto"/>
              <w:bottom w:val="nil"/>
              <w:right w:val="single" w:sz="4" w:space="0" w:color="auto"/>
            </w:tcBorders>
            <w:shd w:val="clear" w:color="auto" w:fill="auto"/>
            <w:vAlign w:val="bottom"/>
            <w:hideMark/>
          </w:tcPr>
          <w:p w14:paraId="6C208637"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105</w:t>
            </w:r>
          </w:p>
        </w:tc>
      </w:tr>
      <w:tr w:rsidR="000654F6" w:rsidRPr="000654F6" w14:paraId="6EE663A7" w14:textId="77777777" w:rsidTr="00582805">
        <w:trPr>
          <w:trHeight w:val="283"/>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76663312" w14:textId="77777777" w:rsidR="000654F6" w:rsidRPr="000654F6" w:rsidRDefault="000654F6" w:rsidP="000654F6">
            <w:pPr>
              <w:spacing w:after="0" w:line="276" w:lineRule="auto"/>
              <w:jc w:val="both"/>
              <w:rPr>
                <w:rFonts w:ascii="Times New Roman" w:eastAsia="Times New Roman" w:hAnsi="Times New Roman" w:cs="Times New Roman"/>
                <w:bCs/>
                <w:i/>
                <w:noProof/>
                <w:color w:val="000000"/>
                <w:lang w:eastAsia="cs-CZ"/>
              </w:rPr>
            </w:pPr>
            <w:r w:rsidRPr="000654F6">
              <w:rPr>
                <w:rFonts w:ascii="Times New Roman" w:eastAsia="Times New Roman" w:hAnsi="Times New Roman" w:cs="Times New Roman"/>
                <w:bCs/>
                <w:i/>
                <w:noProof/>
                <w:color w:val="000000"/>
                <w:lang w:eastAsia="cs-CZ"/>
              </w:rPr>
              <w:t>veřejné a komerční budovy</w:t>
            </w:r>
          </w:p>
        </w:tc>
        <w:tc>
          <w:tcPr>
            <w:tcW w:w="1045" w:type="dxa"/>
            <w:tcBorders>
              <w:top w:val="nil"/>
              <w:left w:val="nil"/>
              <w:bottom w:val="single" w:sz="4" w:space="0" w:color="auto"/>
              <w:right w:val="nil"/>
            </w:tcBorders>
            <w:shd w:val="clear" w:color="auto" w:fill="auto"/>
            <w:vAlign w:val="bottom"/>
            <w:hideMark/>
          </w:tcPr>
          <w:p w14:paraId="49C22416"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33</w:t>
            </w:r>
          </w:p>
        </w:tc>
        <w:tc>
          <w:tcPr>
            <w:tcW w:w="1045" w:type="dxa"/>
            <w:tcBorders>
              <w:top w:val="nil"/>
              <w:left w:val="single" w:sz="4" w:space="0" w:color="auto"/>
              <w:bottom w:val="single" w:sz="4" w:space="0" w:color="auto"/>
              <w:right w:val="nil"/>
            </w:tcBorders>
            <w:shd w:val="clear" w:color="auto" w:fill="auto"/>
            <w:vAlign w:val="bottom"/>
            <w:hideMark/>
          </w:tcPr>
          <w:p w14:paraId="37EF4539"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142</w:t>
            </w:r>
          </w:p>
        </w:tc>
        <w:tc>
          <w:tcPr>
            <w:tcW w:w="1045" w:type="dxa"/>
            <w:tcBorders>
              <w:top w:val="nil"/>
              <w:left w:val="single" w:sz="4" w:space="0" w:color="auto"/>
              <w:bottom w:val="single" w:sz="4" w:space="0" w:color="auto"/>
              <w:right w:val="nil"/>
            </w:tcBorders>
            <w:shd w:val="clear" w:color="auto" w:fill="auto"/>
            <w:vAlign w:val="bottom"/>
            <w:hideMark/>
          </w:tcPr>
          <w:p w14:paraId="713F5E64"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256</w:t>
            </w:r>
          </w:p>
        </w:tc>
        <w:tc>
          <w:tcPr>
            <w:tcW w:w="1046" w:type="dxa"/>
            <w:tcBorders>
              <w:top w:val="nil"/>
              <w:left w:val="single" w:sz="4" w:space="0" w:color="auto"/>
              <w:bottom w:val="single" w:sz="4" w:space="0" w:color="auto"/>
              <w:right w:val="single" w:sz="4" w:space="0" w:color="auto"/>
            </w:tcBorders>
            <w:shd w:val="clear" w:color="auto" w:fill="auto"/>
            <w:vAlign w:val="bottom"/>
            <w:hideMark/>
          </w:tcPr>
          <w:p w14:paraId="2715157F" w14:textId="77777777" w:rsidR="000654F6" w:rsidRPr="000654F6" w:rsidRDefault="000654F6" w:rsidP="000654F6">
            <w:pPr>
              <w:spacing w:after="0" w:line="276" w:lineRule="auto"/>
              <w:jc w:val="right"/>
              <w:rPr>
                <w:rFonts w:ascii="Times New Roman" w:eastAsia="Times New Roman" w:hAnsi="Times New Roman" w:cs="Times New Roman"/>
                <w:bCs/>
                <w:noProof/>
                <w:color w:val="000000"/>
                <w:lang w:eastAsia="cs-CZ"/>
              </w:rPr>
            </w:pPr>
            <w:r w:rsidRPr="000654F6">
              <w:rPr>
                <w:rFonts w:ascii="Times New Roman" w:eastAsia="Times New Roman" w:hAnsi="Times New Roman" w:cs="Times New Roman"/>
                <w:bCs/>
                <w:noProof/>
                <w:color w:val="000000"/>
                <w:lang w:eastAsia="cs-CZ"/>
              </w:rPr>
              <w:t>362</w:t>
            </w:r>
          </w:p>
        </w:tc>
      </w:tr>
      <w:tr w:rsidR="000654F6" w:rsidRPr="000654F6" w14:paraId="16C13219" w14:textId="77777777" w:rsidTr="00582805">
        <w:trPr>
          <w:trHeight w:val="283"/>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9F88E" w14:textId="77777777" w:rsidR="000654F6" w:rsidRPr="000654F6" w:rsidRDefault="000654F6" w:rsidP="000654F6">
            <w:pPr>
              <w:spacing w:after="0" w:line="276" w:lineRule="auto"/>
              <w:jc w:val="both"/>
              <w:rPr>
                <w:rFonts w:ascii="Times New Roman" w:eastAsia="Times New Roman" w:hAnsi="Times New Roman" w:cs="Times New Roman"/>
                <w:b/>
                <w:bCs/>
                <w:noProof/>
                <w:color w:val="000000"/>
                <w:lang w:eastAsia="cs-CZ"/>
              </w:rPr>
            </w:pPr>
            <w:r w:rsidRPr="000654F6">
              <w:rPr>
                <w:rFonts w:ascii="Times New Roman" w:eastAsia="Times New Roman" w:hAnsi="Times New Roman" w:cs="Times New Roman"/>
                <w:b/>
                <w:bCs/>
                <w:noProof/>
                <w:color w:val="000000"/>
                <w:lang w:eastAsia="cs-CZ"/>
              </w:rPr>
              <w:t>Měrná potřeba tepla na vytápění [MJ/( m2.rok)]</w:t>
            </w:r>
          </w:p>
        </w:tc>
        <w:tc>
          <w:tcPr>
            <w:tcW w:w="1045" w:type="dxa"/>
            <w:tcBorders>
              <w:top w:val="single" w:sz="4" w:space="0" w:color="auto"/>
              <w:left w:val="nil"/>
              <w:bottom w:val="single" w:sz="4" w:space="0" w:color="auto"/>
              <w:right w:val="nil"/>
            </w:tcBorders>
            <w:shd w:val="clear" w:color="auto" w:fill="auto"/>
            <w:vAlign w:val="bottom"/>
            <w:hideMark/>
          </w:tcPr>
          <w:p w14:paraId="23110EDE" w14:textId="77777777" w:rsidR="000654F6" w:rsidRPr="000654F6" w:rsidRDefault="000654F6" w:rsidP="000654F6">
            <w:pPr>
              <w:spacing w:after="0" w:line="276" w:lineRule="auto"/>
              <w:jc w:val="right"/>
              <w:rPr>
                <w:rFonts w:ascii="Times New Roman" w:eastAsia="Times New Roman" w:hAnsi="Times New Roman" w:cs="Times New Roman"/>
                <w:b/>
                <w:bCs/>
                <w:noProof/>
                <w:color w:val="000000"/>
                <w:lang w:eastAsia="cs-CZ"/>
              </w:rPr>
            </w:pPr>
            <w:r w:rsidRPr="000654F6">
              <w:rPr>
                <w:rFonts w:ascii="Times New Roman" w:hAnsi="Times New Roman" w:cs="Times New Roman"/>
                <w:b/>
                <w:bCs/>
                <w:color w:val="000000"/>
              </w:rPr>
              <w:t>493</w:t>
            </w:r>
          </w:p>
        </w:tc>
        <w:tc>
          <w:tcPr>
            <w:tcW w:w="1045" w:type="dxa"/>
            <w:tcBorders>
              <w:top w:val="single" w:sz="4" w:space="0" w:color="auto"/>
              <w:left w:val="single" w:sz="4" w:space="0" w:color="auto"/>
              <w:bottom w:val="single" w:sz="4" w:space="0" w:color="auto"/>
              <w:right w:val="nil"/>
            </w:tcBorders>
            <w:shd w:val="clear" w:color="auto" w:fill="auto"/>
            <w:vAlign w:val="bottom"/>
            <w:hideMark/>
          </w:tcPr>
          <w:p w14:paraId="607425BA" w14:textId="77777777" w:rsidR="000654F6" w:rsidRPr="000654F6" w:rsidRDefault="000654F6" w:rsidP="000654F6">
            <w:pPr>
              <w:spacing w:after="0" w:line="276" w:lineRule="auto"/>
              <w:jc w:val="right"/>
              <w:rPr>
                <w:rFonts w:ascii="Times New Roman" w:eastAsia="Times New Roman" w:hAnsi="Times New Roman" w:cs="Times New Roman"/>
                <w:b/>
                <w:bCs/>
                <w:noProof/>
                <w:color w:val="000000"/>
                <w:lang w:eastAsia="cs-CZ"/>
              </w:rPr>
            </w:pPr>
            <w:r w:rsidRPr="000654F6">
              <w:rPr>
                <w:rFonts w:ascii="Times New Roman" w:hAnsi="Times New Roman" w:cs="Times New Roman"/>
                <w:b/>
                <w:bCs/>
                <w:color w:val="000000"/>
              </w:rPr>
              <w:t>426</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D82A8F" w14:textId="77777777" w:rsidR="000654F6" w:rsidRPr="000654F6" w:rsidRDefault="000654F6" w:rsidP="000654F6">
            <w:pPr>
              <w:spacing w:after="0" w:line="276" w:lineRule="auto"/>
              <w:jc w:val="right"/>
              <w:rPr>
                <w:rFonts w:ascii="Times New Roman" w:eastAsia="Times New Roman" w:hAnsi="Times New Roman" w:cs="Times New Roman"/>
                <w:b/>
                <w:bCs/>
                <w:noProof/>
                <w:color w:val="000000"/>
                <w:lang w:eastAsia="cs-CZ"/>
              </w:rPr>
            </w:pPr>
            <w:r w:rsidRPr="000654F6">
              <w:rPr>
                <w:rFonts w:ascii="Times New Roman" w:hAnsi="Times New Roman" w:cs="Times New Roman"/>
                <w:b/>
                <w:bCs/>
                <w:color w:val="000000"/>
              </w:rPr>
              <w:t>368</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14:paraId="19E58F8F" w14:textId="77777777" w:rsidR="000654F6" w:rsidRPr="000654F6" w:rsidRDefault="000654F6" w:rsidP="000654F6">
            <w:pPr>
              <w:spacing w:after="0" w:line="276" w:lineRule="auto"/>
              <w:jc w:val="right"/>
              <w:rPr>
                <w:rFonts w:ascii="Times New Roman" w:eastAsia="Times New Roman" w:hAnsi="Times New Roman" w:cs="Times New Roman"/>
                <w:b/>
                <w:bCs/>
                <w:noProof/>
                <w:color w:val="000000"/>
                <w:lang w:eastAsia="cs-CZ"/>
              </w:rPr>
            </w:pPr>
            <w:r w:rsidRPr="000654F6">
              <w:rPr>
                <w:rFonts w:ascii="Times New Roman" w:hAnsi="Times New Roman" w:cs="Times New Roman"/>
                <w:b/>
                <w:bCs/>
                <w:color w:val="000000"/>
              </w:rPr>
              <w:t>325</w:t>
            </w:r>
          </w:p>
        </w:tc>
      </w:tr>
    </w:tbl>
    <w:p w14:paraId="1346C7CD" w14:textId="1D6BB980" w:rsidR="00346C02" w:rsidRDefault="00346C02" w:rsidP="00346C02">
      <w:pPr>
        <w:pStyle w:val="K-TextInfo"/>
        <w:spacing w:line="276" w:lineRule="auto"/>
        <w:rPr>
          <w:b/>
          <w:i w:val="0"/>
          <w:color w:val="auto"/>
        </w:rPr>
      </w:pPr>
    </w:p>
    <w:p w14:paraId="48B8158D" w14:textId="3CA8D21D" w:rsidR="00346C02" w:rsidRDefault="00346C02" w:rsidP="00346C02">
      <w:pPr>
        <w:pStyle w:val="K-TextInfo"/>
        <w:spacing w:line="276" w:lineRule="auto"/>
        <w:rPr>
          <w:b/>
          <w:i w:val="0"/>
          <w:color w:val="auto"/>
        </w:rPr>
      </w:pPr>
      <w:r w:rsidRPr="00346C02">
        <w:rPr>
          <w:b/>
          <w:i w:val="0"/>
          <w:color w:val="auto"/>
        </w:rPr>
        <w:t>Vedle těchto hlavních cílů, je vedlejším efektem komponenty minimaliz</w:t>
      </w:r>
      <w:r>
        <w:rPr>
          <w:b/>
          <w:i w:val="0"/>
          <w:color w:val="auto"/>
        </w:rPr>
        <w:t>ace</w:t>
      </w:r>
      <w:r w:rsidRPr="00346C02">
        <w:rPr>
          <w:b/>
          <w:i w:val="0"/>
          <w:color w:val="auto"/>
        </w:rPr>
        <w:t xml:space="preserve"> propadu sektoru stavebnictví, který lze očekávat v důsledku pandemie, podpora příjmů do státního rozpočtu</w:t>
      </w:r>
      <w:r>
        <w:rPr>
          <w:b/>
          <w:i w:val="0"/>
          <w:color w:val="auto"/>
        </w:rPr>
        <w:t xml:space="preserve"> </w:t>
      </w:r>
      <w:r w:rsidRPr="00346C02">
        <w:rPr>
          <w:b/>
          <w:i w:val="0"/>
          <w:color w:val="auto"/>
        </w:rPr>
        <w:t>a snížení výdejů státu na provozních nákladech.</w:t>
      </w:r>
    </w:p>
    <w:p w14:paraId="5F946A55" w14:textId="77777777" w:rsidR="00346C02" w:rsidRPr="003B36C4" w:rsidRDefault="00346C02" w:rsidP="00346C02">
      <w:pPr>
        <w:pStyle w:val="K-TextInfo"/>
        <w:spacing w:line="276" w:lineRule="auto"/>
        <w:rPr>
          <w:b/>
          <w:i w:val="0"/>
          <w:color w:val="auto"/>
        </w:rPr>
      </w:pPr>
    </w:p>
    <w:p w14:paraId="6CD31FED" w14:textId="79635398" w:rsidR="007A2737" w:rsidRDefault="007A2737" w:rsidP="000654F6">
      <w:pPr>
        <w:pStyle w:val="K-Nadpis3"/>
        <w:spacing w:line="276" w:lineRule="auto"/>
      </w:pPr>
      <w:r>
        <w:t xml:space="preserve">c) </w:t>
      </w:r>
      <w:r w:rsidR="006C30EB" w:rsidRPr="006C30EB">
        <w:t>Národní strategický kontext</w:t>
      </w:r>
    </w:p>
    <w:p w14:paraId="2E4BBB8F" w14:textId="77777777" w:rsidR="003B36C4" w:rsidRPr="003B36C4" w:rsidRDefault="003B36C4" w:rsidP="000654F6">
      <w:pPr>
        <w:pStyle w:val="K-TextInfo"/>
        <w:spacing w:line="276" w:lineRule="auto"/>
        <w:rPr>
          <w:i w:val="0"/>
          <w:color w:val="auto"/>
        </w:rPr>
      </w:pPr>
      <w:r w:rsidRPr="003B36C4">
        <w:rPr>
          <w:i w:val="0"/>
          <w:color w:val="auto"/>
        </w:rPr>
        <w:t>Mezi strategie a politiky ovlivňující úroveň konečné spotřeby energie patří zejména:</w:t>
      </w:r>
    </w:p>
    <w:p w14:paraId="2A672DB9" w14:textId="6B21D0EE" w:rsidR="003B36C4" w:rsidRPr="003B36C4" w:rsidRDefault="003B36C4" w:rsidP="606CD914">
      <w:pPr>
        <w:pStyle w:val="K-TextInfo"/>
        <w:numPr>
          <w:ilvl w:val="0"/>
          <w:numId w:val="24"/>
        </w:numPr>
        <w:spacing w:line="276" w:lineRule="auto"/>
        <w:rPr>
          <w:i w:val="0"/>
          <w:iCs w:val="0"/>
          <w:color w:val="000000" w:themeColor="text1"/>
        </w:rPr>
      </w:pPr>
      <w:r w:rsidRPr="606CD914">
        <w:rPr>
          <w:i w:val="0"/>
          <w:iCs w:val="0"/>
          <w:color w:val="auto"/>
        </w:rPr>
        <w:t xml:space="preserve">Dlouhodobá strategie renovace budov podle čl. </w:t>
      </w:r>
      <w:proofErr w:type="gramStart"/>
      <w:r w:rsidRPr="606CD914">
        <w:rPr>
          <w:i w:val="0"/>
          <w:iCs w:val="0"/>
          <w:color w:val="auto"/>
        </w:rPr>
        <w:t>2a</w:t>
      </w:r>
      <w:proofErr w:type="gramEnd"/>
      <w:r w:rsidRPr="606CD914">
        <w:rPr>
          <w:i w:val="0"/>
          <w:iCs w:val="0"/>
          <w:color w:val="auto"/>
        </w:rPr>
        <w:t xml:space="preserve"> směrnice o energetické náročnosti budov;</w:t>
      </w:r>
    </w:p>
    <w:p w14:paraId="5351E4B4" w14:textId="77AE0EC7" w:rsidR="003B36C4" w:rsidRPr="003B36C4" w:rsidRDefault="003B36C4" w:rsidP="606CD914">
      <w:pPr>
        <w:pStyle w:val="K-TextInfo"/>
        <w:numPr>
          <w:ilvl w:val="0"/>
          <w:numId w:val="24"/>
        </w:numPr>
        <w:spacing w:line="276" w:lineRule="auto"/>
        <w:rPr>
          <w:i w:val="0"/>
          <w:iCs w:val="0"/>
          <w:color w:val="000000" w:themeColor="text1"/>
        </w:rPr>
      </w:pPr>
      <w:r w:rsidRPr="606CD914">
        <w:rPr>
          <w:i w:val="0"/>
          <w:iCs w:val="0"/>
          <w:color w:val="auto"/>
        </w:rPr>
        <w:t>závazek podle čl. 5 směrnice o energetické účinnosti</w:t>
      </w:r>
    </w:p>
    <w:p w14:paraId="07BFA6B5" w14:textId="3CC559E2" w:rsidR="003B36C4" w:rsidRPr="003B36C4" w:rsidRDefault="003B36C4" w:rsidP="606CD914">
      <w:pPr>
        <w:pStyle w:val="K-TextInfo"/>
        <w:numPr>
          <w:ilvl w:val="0"/>
          <w:numId w:val="24"/>
        </w:numPr>
        <w:spacing w:line="276" w:lineRule="auto"/>
        <w:rPr>
          <w:i w:val="0"/>
          <w:iCs w:val="0"/>
          <w:color w:val="000000" w:themeColor="text1"/>
        </w:rPr>
      </w:pPr>
      <w:r w:rsidRPr="606CD914">
        <w:rPr>
          <w:i w:val="0"/>
          <w:iCs w:val="0"/>
          <w:color w:val="auto"/>
        </w:rPr>
        <w:t>závazek podle čl. 7 směrnice o energetické účinnosti</w:t>
      </w:r>
    </w:p>
    <w:p w14:paraId="5E6B3502" w14:textId="3C48BC39" w:rsidR="003B36C4" w:rsidRPr="003B36C4" w:rsidRDefault="003B36C4" w:rsidP="606CD914">
      <w:pPr>
        <w:pStyle w:val="K-TextInfo"/>
        <w:numPr>
          <w:ilvl w:val="0"/>
          <w:numId w:val="24"/>
        </w:numPr>
        <w:spacing w:line="276" w:lineRule="auto"/>
        <w:rPr>
          <w:i w:val="0"/>
          <w:iCs w:val="0"/>
          <w:color w:val="000000" w:themeColor="text1"/>
        </w:rPr>
      </w:pPr>
      <w:r w:rsidRPr="606CD914">
        <w:rPr>
          <w:i w:val="0"/>
          <w:iCs w:val="0"/>
          <w:color w:val="auto"/>
        </w:rPr>
        <w:t xml:space="preserve">legislativní a regulatorní opatření v důsledku transpozice a </w:t>
      </w:r>
      <w:proofErr w:type="spellStart"/>
      <w:r w:rsidRPr="606CD914">
        <w:rPr>
          <w:i w:val="0"/>
          <w:iCs w:val="0"/>
          <w:color w:val="auto"/>
        </w:rPr>
        <w:t>implementacce</w:t>
      </w:r>
      <w:proofErr w:type="spellEnd"/>
      <w:r w:rsidRPr="606CD914">
        <w:rPr>
          <w:i w:val="0"/>
          <w:iCs w:val="0"/>
          <w:color w:val="auto"/>
        </w:rPr>
        <w:t xml:space="preserve"> národní a EU legislativy</w:t>
      </w:r>
    </w:p>
    <w:p w14:paraId="51DD83F6" w14:textId="67F4DB91" w:rsidR="003B36C4" w:rsidRPr="003B36C4" w:rsidRDefault="003B36C4" w:rsidP="606CD914">
      <w:pPr>
        <w:pStyle w:val="K-TextInfo"/>
        <w:numPr>
          <w:ilvl w:val="0"/>
          <w:numId w:val="24"/>
        </w:numPr>
        <w:spacing w:line="276" w:lineRule="auto"/>
        <w:rPr>
          <w:i w:val="0"/>
          <w:iCs w:val="0"/>
          <w:color w:val="000000" w:themeColor="text1"/>
        </w:rPr>
      </w:pPr>
      <w:r w:rsidRPr="606CD914">
        <w:rPr>
          <w:i w:val="0"/>
          <w:iCs w:val="0"/>
          <w:color w:val="auto"/>
        </w:rPr>
        <w:t>fiskální nástroje</w:t>
      </w:r>
    </w:p>
    <w:p w14:paraId="3A1C6655" w14:textId="6703DDAB" w:rsidR="003B36C4" w:rsidRPr="003B36C4" w:rsidRDefault="003B36C4" w:rsidP="606CD914">
      <w:pPr>
        <w:pStyle w:val="K-TextInfo"/>
        <w:numPr>
          <w:ilvl w:val="0"/>
          <w:numId w:val="24"/>
        </w:numPr>
        <w:spacing w:line="276" w:lineRule="auto"/>
        <w:rPr>
          <w:i w:val="0"/>
          <w:iCs w:val="0"/>
          <w:color w:val="000000" w:themeColor="text1"/>
        </w:rPr>
      </w:pPr>
      <w:r w:rsidRPr="606CD914">
        <w:rPr>
          <w:i w:val="0"/>
          <w:iCs w:val="0"/>
          <w:color w:val="auto"/>
        </w:rPr>
        <w:t>strategie a politiky v dalších oblastech zahrnující mimo jiné sektor dopravy a vyjádřené v následujících koncepčních materiálech:</w:t>
      </w:r>
    </w:p>
    <w:p w14:paraId="6E8EAF48" w14:textId="4880F6F0" w:rsidR="003B36C4" w:rsidRPr="003B36C4" w:rsidRDefault="003B36C4" w:rsidP="606CD914">
      <w:pPr>
        <w:pStyle w:val="K-TextInfo"/>
        <w:numPr>
          <w:ilvl w:val="1"/>
          <w:numId w:val="24"/>
        </w:numPr>
        <w:spacing w:line="276" w:lineRule="auto"/>
        <w:rPr>
          <w:i w:val="0"/>
          <w:iCs w:val="0"/>
          <w:color w:val="000000" w:themeColor="text1"/>
        </w:rPr>
      </w:pPr>
      <w:r w:rsidRPr="606CD914">
        <w:rPr>
          <w:i w:val="0"/>
          <w:iCs w:val="0"/>
          <w:color w:val="auto"/>
        </w:rPr>
        <w:t>Státní energetická koncepce ČR</w:t>
      </w:r>
    </w:p>
    <w:p w14:paraId="72E74647" w14:textId="6672BF70" w:rsidR="003B36C4" w:rsidRPr="003B36C4" w:rsidRDefault="003B36C4" w:rsidP="606CD914">
      <w:pPr>
        <w:pStyle w:val="K-TextInfo"/>
        <w:numPr>
          <w:ilvl w:val="1"/>
          <w:numId w:val="24"/>
        </w:numPr>
        <w:spacing w:line="276" w:lineRule="auto"/>
        <w:rPr>
          <w:i w:val="0"/>
          <w:iCs w:val="0"/>
          <w:color w:val="000000" w:themeColor="text1"/>
        </w:rPr>
      </w:pPr>
      <w:r w:rsidRPr="606CD914">
        <w:rPr>
          <w:i w:val="0"/>
          <w:iCs w:val="0"/>
          <w:color w:val="auto"/>
        </w:rPr>
        <w:t>Národní program reforem ČR (NPR)</w:t>
      </w:r>
    </w:p>
    <w:p w14:paraId="2D800C01" w14:textId="07AC2870" w:rsidR="003B36C4" w:rsidRPr="003B36C4" w:rsidRDefault="003B36C4" w:rsidP="606CD914">
      <w:pPr>
        <w:pStyle w:val="K-TextInfo"/>
        <w:numPr>
          <w:ilvl w:val="1"/>
          <w:numId w:val="24"/>
        </w:numPr>
        <w:spacing w:line="276" w:lineRule="auto"/>
        <w:rPr>
          <w:i w:val="0"/>
          <w:iCs w:val="0"/>
          <w:color w:val="000000" w:themeColor="text1"/>
        </w:rPr>
      </w:pPr>
      <w:r w:rsidRPr="606CD914">
        <w:rPr>
          <w:i w:val="0"/>
          <w:iCs w:val="0"/>
          <w:color w:val="auto"/>
        </w:rPr>
        <w:t>Státní politika životního prostředí</w:t>
      </w:r>
    </w:p>
    <w:p w14:paraId="24593FBB" w14:textId="4B57E2C7" w:rsidR="003B36C4" w:rsidRPr="003B36C4" w:rsidRDefault="003B36C4" w:rsidP="606CD914">
      <w:pPr>
        <w:pStyle w:val="K-TextInfo"/>
        <w:numPr>
          <w:ilvl w:val="1"/>
          <w:numId w:val="24"/>
        </w:numPr>
        <w:spacing w:line="276" w:lineRule="auto"/>
        <w:rPr>
          <w:i w:val="0"/>
          <w:iCs w:val="0"/>
          <w:color w:val="000000" w:themeColor="text1"/>
        </w:rPr>
      </w:pPr>
      <w:r w:rsidRPr="606CD914">
        <w:rPr>
          <w:i w:val="0"/>
          <w:iCs w:val="0"/>
          <w:color w:val="auto"/>
        </w:rPr>
        <w:t>Politika ochrany klimatu v ČR</w:t>
      </w:r>
    </w:p>
    <w:p w14:paraId="0EEEB9B6" w14:textId="75E0E470" w:rsidR="003B36C4" w:rsidRPr="003B36C4" w:rsidRDefault="003B36C4" w:rsidP="606CD914">
      <w:pPr>
        <w:pStyle w:val="K-TextInfo"/>
        <w:numPr>
          <w:ilvl w:val="1"/>
          <w:numId w:val="24"/>
        </w:numPr>
        <w:spacing w:line="276" w:lineRule="auto"/>
        <w:rPr>
          <w:i w:val="0"/>
          <w:iCs w:val="0"/>
          <w:color w:val="000000" w:themeColor="text1"/>
        </w:rPr>
      </w:pPr>
      <w:r w:rsidRPr="606CD914">
        <w:rPr>
          <w:i w:val="0"/>
          <w:iCs w:val="0"/>
          <w:color w:val="auto"/>
        </w:rPr>
        <w:t>Strategický rámec udržitelného rozvoje ČR</w:t>
      </w:r>
    </w:p>
    <w:p w14:paraId="7C0C7230" w14:textId="46C8CD69" w:rsidR="003B36C4" w:rsidRPr="003B36C4" w:rsidRDefault="003B36C4" w:rsidP="606CD914">
      <w:pPr>
        <w:pStyle w:val="K-TextInfo"/>
        <w:numPr>
          <w:ilvl w:val="1"/>
          <w:numId w:val="24"/>
        </w:numPr>
        <w:spacing w:line="276" w:lineRule="auto"/>
        <w:rPr>
          <w:i w:val="0"/>
          <w:iCs w:val="0"/>
          <w:color w:val="000000" w:themeColor="text1"/>
        </w:rPr>
      </w:pPr>
      <w:r w:rsidRPr="606CD914">
        <w:rPr>
          <w:i w:val="0"/>
          <w:iCs w:val="0"/>
          <w:color w:val="auto"/>
        </w:rPr>
        <w:t>Dopravní politika ČR pro období 2014–2020 s výhledem do roku 2050.</w:t>
      </w:r>
    </w:p>
    <w:p w14:paraId="1C015FB3" w14:textId="77777777" w:rsidR="007A2737" w:rsidRDefault="007A2737" w:rsidP="000654F6">
      <w:pPr>
        <w:pStyle w:val="K-Nadpis3"/>
        <w:spacing w:line="276" w:lineRule="auto"/>
      </w:pPr>
      <w:r>
        <w:t xml:space="preserve">d) </w:t>
      </w:r>
      <w:r w:rsidRPr="007A2737">
        <w:t>Předchozí snahy</w:t>
      </w:r>
    </w:p>
    <w:p w14:paraId="402B7BA6" w14:textId="77777777" w:rsidR="00B159C9" w:rsidRDefault="00B159C9" w:rsidP="000654F6">
      <w:pPr>
        <w:pStyle w:val="K-Text"/>
        <w:spacing w:line="276" w:lineRule="auto"/>
      </w:pPr>
      <w:r>
        <w:t>Transformace energetiky je dlouhodobý proces, ovšem oblast úspor energie má mnohem širší rozměr, protože se přímo dotýká každé aktivity v rámci národního hospodářství, kde je s energií nakládáno. Mezi programy, které dosud zvyšování energetické účinnosti řešily, zejména patří:</w:t>
      </w:r>
    </w:p>
    <w:p w14:paraId="5F335D4E" w14:textId="77777777" w:rsidR="00B159C9" w:rsidRDefault="00B159C9" w:rsidP="000654F6">
      <w:pPr>
        <w:pStyle w:val="K-Text"/>
        <w:spacing w:line="276" w:lineRule="auto"/>
      </w:pPr>
      <w:r>
        <w:t>•</w:t>
      </w:r>
      <w:r>
        <w:tab/>
        <w:t>Operační program Životní prostředí</w:t>
      </w:r>
    </w:p>
    <w:p w14:paraId="508F568C" w14:textId="77777777" w:rsidR="00B159C9" w:rsidRDefault="00B159C9" w:rsidP="000654F6">
      <w:pPr>
        <w:pStyle w:val="K-Text"/>
        <w:spacing w:line="276" w:lineRule="auto"/>
      </w:pPr>
      <w:r>
        <w:t>•</w:t>
      </w:r>
      <w:r>
        <w:tab/>
        <w:t>Operační program Podnikání a inovace pro konkurenceschopnost</w:t>
      </w:r>
    </w:p>
    <w:p w14:paraId="25F81134" w14:textId="77777777" w:rsidR="00B159C9" w:rsidRDefault="00B159C9" w:rsidP="000654F6">
      <w:pPr>
        <w:pStyle w:val="K-Text"/>
        <w:spacing w:line="276" w:lineRule="auto"/>
      </w:pPr>
      <w:r>
        <w:t>•</w:t>
      </w:r>
      <w:r>
        <w:tab/>
        <w:t>Integrovaný operační program</w:t>
      </w:r>
    </w:p>
    <w:p w14:paraId="38B8B149" w14:textId="77777777" w:rsidR="00B159C9" w:rsidRDefault="00B159C9" w:rsidP="000654F6">
      <w:pPr>
        <w:pStyle w:val="K-Text"/>
        <w:spacing w:line="276" w:lineRule="auto"/>
      </w:pPr>
      <w:r>
        <w:t>•</w:t>
      </w:r>
      <w:r>
        <w:tab/>
        <w:t>Program Nová zelená úsporám</w:t>
      </w:r>
    </w:p>
    <w:p w14:paraId="3809665D" w14:textId="20761C9B" w:rsidR="004E6019" w:rsidRPr="00ED337B" w:rsidRDefault="00B159C9" w:rsidP="000654F6">
      <w:pPr>
        <w:pStyle w:val="K-Text"/>
        <w:spacing w:line="276" w:lineRule="auto"/>
      </w:pPr>
      <w:r>
        <w:t>•</w:t>
      </w:r>
      <w:r>
        <w:tab/>
        <w:t>Program EFEKT (jen v omezeném rozsahu)</w:t>
      </w:r>
      <w:r w:rsidR="007A2737" w:rsidRPr="007A2737">
        <w:t>.</w:t>
      </w:r>
    </w:p>
    <w:p w14:paraId="5BA8CBEF" w14:textId="77777777" w:rsidR="002C20CF" w:rsidRPr="00ED337B" w:rsidRDefault="002C20CF" w:rsidP="000654F6">
      <w:pPr>
        <w:pStyle w:val="K-Nadpis2"/>
        <w:spacing w:line="276" w:lineRule="auto"/>
      </w:pPr>
      <w:r w:rsidRPr="00ED337B">
        <w:t xml:space="preserve">3. </w:t>
      </w:r>
      <w:r w:rsidR="00AF3BAB" w:rsidRPr="00ED337B">
        <w:t>Popis reforem</w:t>
      </w:r>
      <w:r w:rsidR="009C04D3" w:rsidRPr="00ED337B">
        <w:t xml:space="preserve"> a investic</w:t>
      </w:r>
      <w:r w:rsidR="00AF3BAB" w:rsidRPr="00ED337B">
        <w:t xml:space="preserve"> k</w:t>
      </w:r>
      <w:r w:rsidRPr="00ED337B">
        <w:t>omponent</w:t>
      </w:r>
      <w:r w:rsidR="00AF3BAB" w:rsidRPr="00ED337B">
        <w:t>y</w:t>
      </w:r>
      <w:r w:rsidRPr="00ED337B">
        <w:t xml:space="preserve"> </w:t>
      </w:r>
    </w:p>
    <w:p w14:paraId="22730CDF" w14:textId="0EEE1687" w:rsidR="000654F6" w:rsidRPr="000654F6" w:rsidRDefault="000654F6" w:rsidP="000654F6">
      <w:pPr>
        <w:pStyle w:val="K-TextInfo"/>
        <w:spacing w:line="276" w:lineRule="auto"/>
        <w:rPr>
          <w:i w:val="0"/>
          <w:color w:val="auto"/>
        </w:rPr>
      </w:pPr>
      <w:r w:rsidRPr="000654F6">
        <w:rPr>
          <w:i w:val="0"/>
          <w:color w:val="auto"/>
        </w:rPr>
        <w:t xml:space="preserve">Podrobně popsáno </w:t>
      </w:r>
      <w:r>
        <w:rPr>
          <w:i w:val="0"/>
          <w:color w:val="auto"/>
        </w:rPr>
        <w:t xml:space="preserve">již </w:t>
      </w:r>
      <w:r w:rsidRPr="000654F6">
        <w:rPr>
          <w:i w:val="0"/>
          <w:color w:val="auto"/>
        </w:rPr>
        <w:t>v kapitole 1 písm. a).</w:t>
      </w:r>
    </w:p>
    <w:p w14:paraId="35BAB89E" w14:textId="56F9FDCD" w:rsidR="000C0598" w:rsidRDefault="0015052B" w:rsidP="000654F6">
      <w:pPr>
        <w:pStyle w:val="K-Nadpis3"/>
        <w:spacing w:line="276" w:lineRule="auto"/>
      </w:pPr>
      <w:r>
        <w:lastRenderedPageBreak/>
        <w:t>a</w:t>
      </w:r>
      <w:r w:rsidR="000C0598">
        <w:t xml:space="preserve">) Popis </w:t>
      </w:r>
      <w:proofErr w:type="gramStart"/>
      <w:r w:rsidR="000C0598">
        <w:t>r</w:t>
      </w:r>
      <w:r w:rsidR="002E19BA">
        <w:t>efor</w:t>
      </w:r>
      <w:r w:rsidR="000C0598">
        <w:t>e</w:t>
      </w:r>
      <w:r w:rsidR="002E19BA">
        <w:t xml:space="preserve">m </w:t>
      </w:r>
      <w:r w:rsidR="00EE74D0">
        <w:t>- souhrnně</w:t>
      </w:r>
      <w:proofErr w:type="gramEnd"/>
    </w:p>
    <w:p w14:paraId="57D6B43C" w14:textId="211C90CE" w:rsidR="00EE74D0" w:rsidRPr="00EE74D0" w:rsidRDefault="005B3F5C" w:rsidP="00EE74D0">
      <w:pPr>
        <w:pStyle w:val="Default"/>
        <w:pBdr>
          <w:top w:val="single" w:sz="4" w:space="1" w:color="auto"/>
          <w:left w:val="single" w:sz="4" w:space="4" w:color="auto"/>
          <w:bottom w:val="single" w:sz="4" w:space="1" w:color="auto"/>
          <w:right w:val="single" w:sz="4" w:space="0" w:color="auto"/>
        </w:pBdr>
        <w:spacing w:after="120" w:line="276" w:lineRule="auto"/>
        <w:jc w:val="both"/>
        <w:rPr>
          <w:rStyle w:val="K-TextChar"/>
          <w:b/>
        </w:rPr>
      </w:pPr>
      <w:r w:rsidRPr="00EE74D0">
        <w:rPr>
          <w:b/>
        </w:rPr>
        <w:t>1</w:t>
      </w:r>
      <w:r w:rsidR="00EE74D0" w:rsidRPr="00EE74D0">
        <w:rPr>
          <w:rStyle w:val="K-TextChar"/>
          <w:b/>
        </w:rPr>
        <w:tab/>
        <w:t>Podpora přípravné fáze projektů zvyšování energetické účinnosti ve státním a veřejném sektoru</w:t>
      </w:r>
    </w:p>
    <w:p w14:paraId="62CD4945" w14:textId="77777777" w:rsidR="00EE74D0" w:rsidRPr="00EE74D0" w:rsidRDefault="00EE74D0" w:rsidP="00EE74D0">
      <w:pPr>
        <w:pStyle w:val="Default"/>
        <w:pBdr>
          <w:top w:val="single" w:sz="4" w:space="1" w:color="auto"/>
          <w:left w:val="single" w:sz="4" w:space="4" w:color="auto"/>
          <w:bottom w:val="single" w:sz="4" w:space="1" w:color="auto"/>
          <w:right w:val="single" w:sz="4" w:space="0" w:color="auto"/>
        </w:pBdr>
        <w:spacing w:after="120" w:line="276" w:lineRule="auto"/>
        <w:jc w:val="both"/>
        <w:rPr>
          <w:rStyle w:val="K-TextChar"/>
          <w:b/>
        </w:rPr>
      </w:pPr>
      <w:r w:rsidRPr="00EE74D0">
        <w:rPr>
          <w:rStyle w:val="K-TextChar"/>
          <w:b/>
        </w:rPr>
        <w:t>2</w:t>
      </w:r>
      <w:r w:rsidRPr="00EE74D0">
        <w:rPr>
          <w:rStyle w:val="K-TextChar"/>
          <w:b/>
        </w:rPr>
        <w:tab/>
        <w:t>Navozující realizace opatření ke snížení energetické náročnosti budov státu</w:t>
      </w:r>
    </w:p>
    <w:p w14:paraId="7880D659" w14:textId="77777777" w:rsidR="00EE74D0" w:rsidRPr="00EE74D0" w:rsidRDefault="00EE74D0" w:rsidP="00EE74D0">
      <w:pPr>
        <w:pStyle w:val="Default"/>
        <w:pBdr>
          <w:top w:val="single" w:sz="4" w:space="1" w:color="auto"/>
          <w:left w:val="single" w:sz="4" w:space="4" w:color="auto"/>
          <w:bottom w:val="single" w:sz="4" w:space="1" w:color="auto"/>
          <w:right w:val="single" w:sz="4" w:space="0" w:color="auto"/>
        </w:pBdr>
        <w:spacing w:after="120" w:line="276" w:lineRule="auto"/>
        <w:jc w:val="both"/>
        <w:rPr>
          <w:rStyle w:val="K-TextChar"/>
          <w:b/>
        </w:rPr>
      </w:pPr>
      <w:r w:rsidRPr="00EE74D0">
        <w:rPr>
          <w:rStyle w:val="K-TextChar"/>
          <w:b/>
        </w:rPr>
        <w:t>3</w:t>
      </w:r>
      <w:r w:rsidRPr="00EE74D0">
        <w:rPr>
          <w:rStyle w:val="K-TextChar"/>
          <w:b/>
        </w:rPr>
        <w:tab/>
        <w:t>Navozující realizace projektů zvýšení energetické účinnosti systémů veřejného osvětlení</w:t>
      </w:r>
    </w:p>
    <w:tbl>
      <w:tblPr>
        <w:tblStyle w:val="Mkatabulky"/>
        <w:tblW w:w="0" w:type="auto"/>
        <w:tblLook w:val="04A0" w:firstRow="1" w:lastRow="0" w:firstColumn="1" w:lastColumn="0" w:noHBand="0" w:noVBand="1"/>
      </w:tblPr>
      <w:tblGrid>
        <w:gridCol w:w="2405"/>
        <w:gridCol w:w="7223"/>
      </w:tblGrid>
      <w:tr w:rsidR="00852465" w14:paraId="670B5AC8" w14:textId="77777777" w:rsidTr="04324917">
        <w:tc>
          <w:tcPr>
            <w:tcW w:w="2405" w:type="dxa"/>
          </w:tcPr>
          <w:p w14:paraId="36F28BB9" w14:textId="0D4A873B" w:rsidR="00852465" w:rsidRPr="00BD73EE" w:rsidRDefault="00852465" w:rsidP="000654F6">
            <w:pPr>
              <w:pStyle w:val="K-Text"/>
              <w:spacing w:line="276" w:lineRule="auto"/>
              <w:jc w:val="left"/>
              <w:rPr>
                <w:color w:val="000000" w:themeColor="text1"/>
              </w:rPr>
            </w:pPr>
            <w:r w:rsidRPr="00BD73EE">
              <w:rPr>
                <w:color w:val="000000" w:themeColor="text1"/>
              </w:rPr>
              <w:t>Výzva</w:t>
            </w:r>
          </w:p>
        </w:tc>
        <w:tc>
          <w:tcPr>
            <w:tcW w:w="7223" w:type="dxa"/>
          </w:tcPr>
          <w:p w14:paraId="11E7072F" w14:textId="59B5E57A" w:rsidR="00852465" w:rsidRPr="00BD73EE" w:rsidRDefault="00346C02" w:rsidP="000654F6">
            <w:pPr>
              <w:pStyle w:val="K-TextInfo"/>
              <w:spacing w:line="276" w:lineRule="auto"/>
              <w:rPr>
                <w:color w:val="000000" w:themeColor="text1"/>
              </w:rPr>
            </w:pPr>
            <w:r w:rsidRPr="00BD73EE">
              <w:rPr>
                <w:color w:val="000000" w:themeColor="text1"/>
              </w:rPr>
              <w:t>Zvýšení energetické účinnosti prostřednictví zvýšení „</w:t>
            </w:r>
            <w:proofErr w:type="spellStart"/>
            <w:r w:rsidRPr="00BD73EE">
              <w:rPr>
                <w:color w:val="000000" w:themeColor="text1"/>
              </w:rPr>
              <w:t>reno</w:t>
            </w:r>
            <w:proofErr w:type="spellEnd"/>
            <w:r w:rsidRPr="00BD73EE">
              <w:rPr>
                <w:color w:val="000000" w:themeColor="text1"/>
              </w:rPr>
              <w:t xml:space="preserve"> </w:t>
            </w:r>
            <w:proofErr w:type="spellStart"/>
            <w:r w:rsidRPr="00BD73EE">
              <w:rPr>
                <w:color w:val="000000" w:themeColor="text1"/>
              </w:rPr>
              <w:t>rate</w:t>
            </w:r>
            <w:proofErr w:type="spellEnd"/>
            <w:r w:rsidRPr="00BD73EE">
              <w:rPr>
                <w:color w:val="000000" w:themeColor="text1"/>
              </w:rPr>
              <w:t>“ v budovách ústředních institucí a renovací veřejného osvětlení.</w:t>
            </w:r>
          </w:p>
        </w:tc>
      </w:tr>
      <w:tr w:rsidR="00852465" w14:paraId="5CA2E1FD" w14:textId="77777777" w:rsidTr="04324917">
        <w:tc>
          <w:tcPr>
            <w:tcW w:w="2405" w:type="dxa"/>
          </w:tcPr>
          <w:p w14:paraId="39A69A26" w14:textId="10FDBFDD" w:rsidR="00852465" w:rsidRPr="00BD73EE" w:rsidRDefault="00852465" w:rsidP="000654F6">
            <w:pPr>
              <w:pStyle w:val="K-Text"/>
              <w:spacing w:line="276" w:lineRule="auto"/>
              <w:jc w:val="left"/>
              <w:rPr>
                <w:color w:val="000000" w:themeColor="text1"/>
              </w:rPr>
            </w:pPr>
            <w:r w:rsidRPr="00BD73EE">
              <w:rPr>
                <w:color w:val="000000" w:themeColor="text1"/>
              </w:rPr>
              <w:t>Cíl</w:t>
            </w:r>
          </w:p>
        </w:tc>
        <w:tc>
          <w:tcPr>
            <w:tcW w:w="7223" w:type="dxa"/>
          </w:tcPr>
          <w:p w14:paraId="4774886F" w14:textId="4AC6D9D6" w:rsidR="00852465" w:rsidRPr="00BD73EE" w:rsidRDefault="00346C02" w:rsidP="000654F6">
            <w:pPr>
              <w:pStyle w:val="K-TextInfo"/>
              <w:spacing w:line="276" w:lineRule="auto"/>
              <w:rPr>
                <w:color w:val="000000" w:themeColor="text1"/>
              </w:rPr>
            </w:pPr>
            <w:r w:rsidRPr="00BD73EE">
              <w:rPr>
                <w:color w:val="000000" w:themeColor="text1"/>
              </w:rPr>
              <w:t xml:space="preserve">Podrobně kapitola 2 písm. b). </w:t>
            </w:r>
          </w:p>
        </w:tc>
      </w:tr>
      <w:tr w:rsidR="00852465" w14:paraId="0E956A8B" w14:textId="77777777" w:rsidTr="04324917">
        <w:tc>
          <w:tcPr>
            <w:tcW w:w="2405" w:type="dxa"/>
          </w:tcPr>
          <w:p w14:paraId="6FC494AD" w14:textId="5393D2F8" w:rsidR="00852465" w:rsidRPr="00BD73EE" w:rsidRDefault="00852465" w:rsidP="000654F6">
            <w:pPr>
              <w:pStyle w:val="K-Text"/>
              <w:spacing w:line="276" w:lineRule="auto"/>
              <w:jc w:val="left"/>
              <w:rPr>
                <w:color w:val="000000" w:themeColor="text1"/>
              </w:rPr>
            </w:pPr>
            <w:r w:rsidRPr="00BD73EE">
              <w:rPr>
                <w:color w:val="000000" w:themeColor="text1"/>
              </w:rPr>
              <w:t>Implementace</w:t>
            </w:r>
          </w:p>
        </w:tc>
        <w:tc>
          <w:tcPr>
            <w:tcW w:w="7223" w:type="dxa"/>
          </w:tcPr>
          <w:p w14:paraId="6388B505" w14:textId="7B451B9F" w:rsidR="00852465" w:rsidRPr="00BD73EE" w:rsidRDefault="00346C02" w:rsidP="000654F6">
            <w:pPr>
              <w:pStyle w:val="K-TextInfo"/>
              <w:spacing w:line="276" w:lineRule="auto"/>
              <w:rPr>
                <w:color w:val="000000" w:themeColor="text1"/>
              </w:rPr>
            </w:pPr>
            <w:r w:rsidRPr="00BD73EE">
              <w:rPr>
                <w:color w:val="000000" w:themeColor="text1"/>
              </w:rPr>
              <w:t>Ministerstvo průmyslu a obchodu prostřednictvím programu EFEKT.</w:t>
            </w:r>
          </w:p>
        </w:tc>
      </w:tr>
      <w:tr w:rsidR="00852465" w14:paraId="2195ABDF" w14:textId="77777777" w:rsidTr="04324917">
        <w:trPr>
          <w:trHeight w:val="70"/>
        </w:trPr>
        <w:tc>
          <w:tcPr>
            <w:tcW w:w="2405" w:type="dxa"/>
          </w:tcPr>
          <w:p w14:paraId="1525154A" w14:textId="32423FFF" w:rsidR="00852465" w:rsidRPr="00BD73EE" w:rsidRDefault="005B3F5C" w:rsidP="000654F6">
            <w:pPr>
              <w:pStyle w:val="K-Text"/>
              <w:spacing w:line="276" w:lineRule="auto"/>
              <w:jc w:val="left"/>
              <w:rPr>
                <w:color w:val="000000" w:themeColor="text1"/>
              </w:rPr>
            </w:pPr>
            <w:r w:rsidRPr="00BD73EE">
              <w:rPr>
                <w:color w:val="000000" w:themeColor="text1"/>
              </w:rPr>
              <w:t>Spolupráce a z</w:t>
            </w:r>
            <w:r w:rsidR="00852465" w:rsidRPr="00BD73EE">
              <w:rPr>
                <w:color w:val="000000" w:themeColor="text1"/>
              </w:rPr>
              <w:t>apojení zúčastněných stran</w:t>
            </w:r>
          </w:p>
        </w:tc>
        <w:tc>
          <w:tcPr>
            <w:tcW w:w="7223" w:type="dxa"/>
          </w:tcPr>
          <w:p w14:paraId="4AAE739A" w14:textId="4AD5912E" w:rsidR="00852465" w:rsidRPr="00BD73EE" w:rsidRDefault="00852465" w:rsidP="000654F6">
            <w:pPr>
              <w:pStyle w:val="K-TextInfo"/>
              <w:spacing w:line="276" w:lineRule="auto"/>
              <w:rPr>
                <w:color w:val="000000" w:themeColor="text1"/>
              </w:rPr>
            </w:pPr>
          </w:p>
        </w:tc>
      </w:tr>
      <w:tr w:rsidR="00852465" w14:paraId="58888365" w14:textId="77777777" w:rsidTr="04324917">
        <w:tc>
          <w:tcPr>
            <w:tcW w:w="2405" w:type="dxa"/>
          </w:tcPr>
          <w:p w14:paraId="05EF4416" w14:textId="1A84B1CC" w:rsidR="00852465" w:rsidRPr="00BD73EE" w:rsidRDefault="00852465" w:rsidP="000654F6">
            <w:pPr>
              <w:pStyle w:val="K-Text"/>
              <w:spacing w:line="276" w:lineRule="auto"/>
              <w:jc w:val="left"/>
              <w:rPr>
                <w:color w:val="000000" w:themeColor="text1"/>
              </w:rPr>
            </w:pPr>
            <w:r w:rsidRPr="00BD73EE">
              <w:rPr>
                <w:color w:val="000000" w:themeColor="text1"/>
              </w:rPr>
              <w:t>Překážky</w:t>
            </w:r>
            <w:r w:rsidR="005B3F5C" w:rsidRPr="00BD73EE">
              <w:rPr>
                <w:color w:val="000000" w:themeColor="text1"/>
              </w:rPr>
              <w:t xml:space="preserve"> a rizika</w:t>
            </w:r>
          </w:p>
        </w:tc>
        <w:tc>
          <w:tcPr>
            <w:tcW w:w="7223" w:type="dxa"/>
          </w:tcPr>
          <w:p w14:paraId="4713AAB4" w14:textId="63E6209F" w:rsidR="00852465" w:rsidRPr="00BD73EE" w:rsidRDefault="00346C02" w:rsidP="000654F6">
            <w:pPr>
              <w:pStyle w:val="K-TextInfo"/>
              <w:spacing w:line="276" w:lineRule="auto"/>
              <w:rPr>
                <w:color w:val="000000" w:themeColor="text1"/>
              </w:rPr>
            </w:pPr>
            <w:r w:rsidRPr="00BD73EE">
              <w:rPr>
                <w:color w:val="000000" w:themeColor="text1"/>
              </w:rPr>
              <w:t>Administrativní náročnost a kritéria podpory.</w:t>
            </w:r>
            <w:r w:rsidR="005B3F5C" w:rsidRPr="00BD73EE">
              <w:rPr>
                <w:color w:val="000000" w:themeColor="text1"/>
              </w:rPr>
              <w:t xml:space="preserve"> </w:t>
            </w:r>
          </w:p>
        </w:tc>
      </w:tr>
      <w:tr w:rsidR="00996DF6" w14:paraId="10F7FBF5" w14:textId="77777777" w:rsidTr="04324917">
        <w:tc>
          <w:tcPr>
            <w:tcW w:w="2405" w:type="dxa"/>
          </w:tcPr>
          <w:p w14:paraId="4390B09E" w14:textId="322A58E7" w:rsidR="00996DF6" w:rsidRPr="00BD73EE" w:rsidRDefault="00996DF6" w:rsidP="000654F6">
            <w:pPr>
              <w:pStyle w:val="K-Text"/>
              <w:spacing w:line="276" w:lineRule="auto"/>
              <w:jc w:val="left"/>
              <w:rPr>
                <w:color w:val="000000" w:themeColor="text1"/>
              </w:rPr>
            </w:pPr>
            <w:r w:rsidRPr="00BD73EE">
              <w:rPr>
                <w:color w:val="000000" w:themeColor="text1"/>
              </w:rPr>
              <w:t>Cílové skupiny populace a ekonomické subjekty</w:t>
            </w:r>
          </w:p>
        </w:tc>
        <w:tc>
          <w:tcPr>
            <w:tcW w:w="7223" w:type="dxa"/>
          </w:tcPr>
          <w:p w14:paraId="20D470CC" w14:textId="09FFC382" w:rsidR="00996DF6" w:rsidRPr="00BD73EE" w:rsidRDefault="00346C02" w:rsidP="000654F6">
            <w:pPr>
              <w:pStyle w:val="K-TextInfo"/>
              <w:spacing w:line="276" w:lineRule="auto"/>
              <w:rPr>
                <w:color w:val="000000" w:themeColor="text1"/>
              </w:rPr>
            </w:pPr>
            <w:r w:rsidRPr="00BD73EE">
              <w:rPr>
                <w:color w:val="000000" w:themeColor="text1"/>
              </w:rPr>
              <w:t>Statní a veřejná správa, stavební sektor v celém svém rozsahu (podpora zaměstnanosti ve výstavbě, vý</w:t>
            </w:r>
            <w:bookmarkStart w:id="1" w:name="_GoBack"/>
            <w:bookmarkEnd w:id="1"/>
            <w:r w:rsidRPr="00BD73EE">
              <w:rPr>
                <w:color w:val="000000" w:themeColor="text1"/>
              </w:rPr>
              <w:t>robě atd.; výroba materiálu, prodej materiálu, …)</w:t>
            </w:r>
          </w:p>
        </w:tc>
      </w:tr>
      <w:tr w:rsidR="00996DF6" w14:paraId="7A9BAC13" w14:textId="77777777" w:rsidTr="04324917">
        <w:tc>
          <w:tcPr>
            <w:tcW w:w="2405" w:type="dxa"/>
          </w:tcPr>
          <w:p w14:paraId="7C2A959D" w14:textId="2F562376" w:rsidR="00996DF6" w:rsidRPr="00BD73EE" w:rsidRDefault="00996DF6" w:rsidP="000654F6">
            <w:pPr>
              <w:pStyle w:val="K-Text"/>
              <w:spacing w:line="276" w:lineRule="auto"/>
              <w:jc w:val="left"/>
              <w:rPr>
                <w:color w:val="000000" w:themeColor="text1"/>
              </w:rPr>
            </w:pPr>
            <w:r w:rsidRPr="00BD73EE">
              <w:rPr>
                <w:color w:val="000000" w:themeColor="text1"/>
              </w:rPr>
              <w:t>Souhrnné náklady realizace financované z RRF za celé období</w:t>
            </w:r>
          </w:p>
        </w:tc>
        <w:tc>
          <w:tcPr>
            <w:tcW w:w="7223" w:type="dxa"/>
          </w:tcPr>
          <w:p w14:paraId="08BAA013" w14:textId="1BA40CF6" w:rsidR="00996DF6" w:rsidRPr="00BD73EE" w:rsidRDefault="00346C02" w:rsidP="000654F6">
            <w:pPr>
              <w:pStyle w:val="K-TextInfo"/>
              <w:spacing w:line="276" w:lineRule="auto"/>
              <w:rPr>
                <w:color w:val="000000" w:themeColor="text1"/>
              </w:rPr>
            </w:pPr>
            <w:r w:rsidRPr="00BD73EE">
              <w:rPr>
                <w:color w:val="000000" w:themeColor="text1"/>
              </w:rPr>
              <w:t>6 mld. Kč.</w:t>
            </w:r>
          </w:p>
        </w:tc>
      </w:tr>
      <w:tr w:rsidR="00852465" w14:paraId="781CAD7E" w14:textId="77777777" w:rsidTr="04324917">
        <w:tc>
          <w:tcPr>
            <w:tcW w:w="2405" w:type="dxa"/>
          </w:tcPr>
          <w:p w14:paraId="0825A8E4" w14:textId="4B619239" w:rsidR="00852465" w:rsidRPr="00BD73EE" w:rsidRDefault="00852465" w:rsidP="000654F6">
            <w:pPr>
              <w:pStyle w:val="K-Text"/>
              <w:spacing w:line="276" w:lineRule="auto"/>
              <w:jc w:val="left"/>
              <w:rPr>
                <w:color w:val="000000" w:themeColor="text1"/>
              </w:rPr>
            </w:pPr>
            <w:r w:rsidRPr="00BD73EE">
              <w:rPr>
                <w:color w:val="000000" w:themeColor="text1"/>
              </w:rPr>
              <w:t>Dodržování pravidel státní podpory</w:t>
            </w:r>
          </w:p>
        </w:tc>
        <w:tc>
          <w:tcPr>
            <w:tcW w:w="7223" w:type="dxa"/>
          </w:tcPr>
          <w:p w14:paraId="27CCD539" w14:textId="25B9FEEF" w:rsidR="00852465" w:rsidRPr="00BD73EE" w:rsidRDefault="00EE74D0" w:rsidP="000654F6">
            <w:pPr>
              <w:pStyle w:val="K-TextInfo"/>
              <w:spacing w:line="276" w:lineRule="auto"/>
              <w:rPr>
                <w:color w:val="000000" w:themeColor="text1"/>
              </w:rPr>
            </w:pPr>
            <w:r w:rsidRPr="00BD73EE">
              <w:rPr>
                <w:color w:val="000000" w:themeColor="text1"/>
              </w:rPr>
              <w:t>Zajištěno nastavením pravidel programu EFEKT.</w:t>
            </w:r>
            <w:r w:rsidR="00996DF6" w:rsidRPr="00BD73EE">
              <w:rPr>
                <w:color w:val="000000" w:themeColor="text1"/>
              </w:rPr>
              <w:t xml:space="preserve"> </w:t>
            </w:r>
          </w:p>
        </w:tc>
      </w:tr>
      <w:tr w:rsidR="00852465" w14:paraId="2DC848FC" w14:textId="77777777" w:rsidTr="04324917">
        <w:tc>
          <w:tcPr>
            <w:tcW w:w="2405" w:type="dxa"/>
          </w:tcPr>
          <w:p w14:paraId="7968264E" w14:textId="1DF85D5F" w:rsidR="00852465" w:rsidRPr="00BD73EE" w:rsidRDefault="00996DF6" w:rsidP="000654F6">
            <w:pPr>
              <w:pStyle w:val="K-Text"/>
              <w:spacing w:line="276" w:lineRule="auto"/>
              <w:jc w:val="left"/>
              <w:rPr>
                <w:color w:val="000000" w:themeColor="text1"/>
              </w:rPr>
            </w:pPr>
            <w:r w:rsidRPr="00BD73EE">
              <w:rPr>
                <w:color w:val="000000" w:themeColor="text1"/>
              </w:rPr>
              <w:t>Uveďte dobu implementace</w:t>
            </w:r>
          </w:p>
        </w:tc>
        <w:tc>
          <w:tcPr>
            <w:tcW w:w="7223" w:type="dxa"/>
          </w:tcPr>
          <w:p w14:paraId="2B927CBE" w14:textId="7F00BCE8" w:rsidR="00852465" w:rsidRPr="00BD73EE" w:rsidRDefault="00EE74D0" w:rsidP="000654F6">
            <w:pPr>
              <w:pStyle w:val="K-TextInfo"/>
              <w:spacing w:line="276" w:lineRule="auto"/>
              <w:rPr>
                <w:color w:val="000000" w:themeColor="text1"/>
              </w:rPr>
            </w:pPr>
            <w:proofErr w:type="gramStart"/>
            <w:r w:rsidRPr="00BD73EE">
              <w:rPr>
                <w:color w:val="000000" w:themeColor="text1"/>
              </w:rPr>
              <w:t>2021 - 2026</w:t>
            </w:r>
            <w:proofErr w:type="gramEnd"/>
          </w:p>
        </w:tc>
      </w:tr>
    </w:tbl>
    <w:p w14:paraId="4F06ED6B" w14:textId="77777777" w:rsidR="002E19BA" w:rsidRDefault="002E19BA" w:rsidP="000654F6">
      <w:pPr>
        <w:pStyle w:val="K-Text"/>
        <w:spacing w:line="276" w:lineRule="auto"/>
      </w:pPr>
    </w:p>
    <w:p w14:paraId="57CF0167" w14:textId="77777777" w:rsidR="000C0598" w:rsidRPr="00ED337B" w:rsidRDefault="000C0598" w:rsidP="000654F6">
      <w:pPr>
        <w:pStyle w:val="K-Text"/>
        <w:spacing w:line="276" w:lineRule="auto"/>
      </w:pPr>
    </w:p>
    <w:p w14:paraId="3B75BCF6" w14:textId="77777777" w:rsidR="002C20CF" w:rsidRPr="00ED337B" w:rsidRDefault="002C20CF" w:rsidP="000654F6">
      <w:pPr>
        <w:pStyle w:val="K-Nadpis2"/>
        <w:spacing w:line="276" w:lineRule="auto"/>
      </w:pPr>
      <w:r w:rsidRPr="00ED337B">
        <w:t xml:space="preserve">4. </w:t>
      </w:r>
      <w:r w:rsidR="002D2B80" w:rsidRPr="00ED337B">
        <w:t>Zelené a digitální rozměry k</w:t>
      </w:r>
      <w:r w:rsidRPr="00ED337B">
        <w:t>omponent</w:t>
      </w:r>
      <w:r w:rsidR="002D2B80" w:rsidRPr="00ED337B">
        <w:t>y</w:t>
      </w:r>
      <w:r w:rsidRPr="00ED337B">
        <w:t xml:space="preserve"> </w:t>
      </w:r>
    </w:p>
    <w:p w14:paraId="72E48162" w14:textId="71FAF7A2" w:rsidR="00CF3324" w:rsidRDefault="00B159C9" w:rsidP="000654F6">
      <w:pPr>
        <w:pStyle w:val="K-Text"/>
        <w:spacing w:line="276" w:lineRule="auto"/>
      </w:pPr>
      <w:r w:rsidRPr="00B159C9">
        <w:t>Vztah komponenty k zelené agendě je naprosto zřejmý, protože zvyšování energetické účinnosti je bráno za jednu z nejzákladnějších aktivit, které k zelené agendě vedou. Tato komponenta plně odpovídá energeticko-klimatické politice EU</w:t>
      </w:r>
      <w:r w:rsidR="00CF3324" w:rsidRPr="007C0788">
        <w:t>.</w:t>
      </w:r>
    </w:p>
    <w:p w14:paraId="00EE8D14" w14:textId="7000AABA" w:rsidR="00A356B5" w:rsidRDefault="00A356B5" w:rsidP="00A6430F">
      <w:pPr>
        <w:pStyle w:val="K-Tabulka"/>
        <w:spacing w:line="276" w:lineRule="auto"/>
      </w:pPr>
    </w:p>
    <w:p w14:paraId="5AA6DC3B" w14:textId="77777777" w:rsidR="005119E2" w:rsidRPr="00ED337B" w:rsidRDefault="005119E2" w:rsidP="000654F6">
      <w:pPr>
        <w:pStyle w:val="K-Text"/>
        <w:spacing w:line="276" w:lineRule="auto"/>
      </w:pPr>
    </w:p>
    <w:sectPr w:rsidR="005119E2" w:rsidRPr="00ED337B" w:rsidSect="00CC5E4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17306" w14:textId="77777777" w:rsidR="00B97163" w:rsidRDefault="00B97163" w:rsidP="00677FE0">
      <w:pPr>
        <w:spacing w:after="0" w:line="240" w:lineRule="auto"/>
      </w:pPr>
      <w:r>
        <w:separator/>
      </w:r>
    </w:p>
  </w:endnote>
  <w:endnote w:type="continuationSeparator" w:id="0">
    <w:p w14:paraId="017BAE45" w14:textId="77777777" w:rsidR="00B97163" w:rsidRDefault="00B97163"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FC9D" w14:textId="77777777" w:rsidR="00677FE0" w:rsidRDefault="00677FE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E4FE" w14:textId="77777777" w:rsidR="00677FE0" w:rsidRDefault="00677FE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2493" w14:textId="77777777" w:rsidR="00677FE0" w:rsidRDefault="00677F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E3B7E" w14:textId="77777777" w:rsidR="00B97163" w:rsidRDefault="00B97163" w:rsidP="00677FE0">
      <w:pPr>
        <w:spacing w:after="0" w:line="240" w:lineRule="auto"/>
      </w:pPr>
      <w:r>
        <w:separator/>
      </w:r>
    </w:p>
  </w:footnote>
  <w:footnote w:type="continuationSeparator" w:id="0">
    <w:p w14:paraId="5A9E49E5" w14:textId="77777777" w:rsidR="00B97163" w:rsidRDefault="00B97163" w:rsidP="00677FE0">
      <w:pPr>
        <w:spacing w:after="0" w:line="240" w:lineRule="auto"/>
      </w:pPr>
      <w:r>
        <w:continuationSeparator/>
      </w:r>
    </w:p>
  </w:footnote>
  <w:footnote w:id="1">
    <w:p w14:paraId="350AB582" w14:textId="77777777" w:rsidR="00EF374D" w:rsidRPr="00A87B13" w:rsidRDefault="00EF374D">
      <w:pPr>
        <w:pStyle w:val="Textpoznpodarou"/>
        <w:rPr>
          <w:rStyle w:val="K-TextPoznChar"/>
        </w:rPr>
      </w:pPr>
      <w:r w:rsidRPr="00A87B13">
        <w:rPr>
          <w:rStyle w:val="Znakapoznpodarou"/>
          <w:rFonts w:ascii="Times New Roman" w:hAnsi="Times New Roman" w:cs="Times New Roman"/>
        </w:rPr>
        <w:footnoteRef/>
      </w:r>
      <w:r w:rsidRPr="00A87B13">
        <w:rPr>
          <w:rFonts w:ascii="Times New Roman" w:hAnsi="Times New Roman" w:cs="Times New Roman"/>
        </w:rPr>
        <w:t xml:space="preserve"> </w:t>
      </w:r>
      <w:r w:rsidRPr="00A87B13">
        <w:rPr>
          <w:rStyle w:val="K-TextPoznChar"/>
        </w:rPr>
        <w:t>Včetně klasifikace COFOG (výdaje vládního sektoru podle funkce).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38AB" w14:textId="77777777" w:rsidR="00677FE0" w:rsidRDefault="00677FE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BA37" w14:textId="77777777" w:rsidR="00677FE0" w:rsidRDefault="00677FE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72BA" w14:textId="77777777" w:rsidR="00677FE0" w:rsidRDefault="00677FE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B9C0D49"/>
    <w:multiLevelType w:val="hybridMultilevel"/>
    <w:tmpl w:val="AE7A3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316F8"/>
    <w:multiLevelType w:val="hybridMultilevel"/>
    <w:tmpl w:val="3320A8B2"/>
    <w:numStyleLink w:val="VariantaB-odrky"/>
  </w:abstractNum>
  <w:abstractNum w:abstractNumId="3" w15:restartNumberingAfterBreak="0">
    <w:nsid w:val="1615572B"/>
    <w:multiLevelType w:val="hybridMultilevel"/>
    <w:tmpl w:val="3320A8B2"/>
    <w:styleLink w:val="VariantaB-odrky"/>
    <w:lvl w:ilvl="0" w:tplc="51942B5E">
      <w:start w:val="1"/>
      <w:numFmt w:val="bullet"/>
      <w:pStyle w:val="SeznamsodrkamiB"/>
      <w:lvlText w:val="—"/>
      <w:lvlJc w:val="left"/>
      <w:pPr>
        <w:ind w:left="357" w:hanging="357"/>
      </w:pPr>
      <w:rPr>
        <w:rFonts w:ascii="Calibri" w:hAnsi="Calibri" w:hint="default"/>
        <w:sz w:val="16"/>
      </w:rPr>
    </w:lvl>
    <w:lvl w:ilvl="1" w:tplc="39BC6760">
      <w:start w:val="1"/>
      <w:numFmt w:val="bullet"/>
      <w:pStyle w:val="SeznamsodrkamiB2"/>
      <w:lvlText w:val=""/>
      <w:lvlJc w:val="left"/>
      <w:pPr>
        <w:ind w:left="714" w:hanging="357"/>
      </w:pPr>
      <w:rPr>
        <w:rFonts w:ascii="Wingdings" w:hAnsi="Wingdings" w:hint="default"/>
        <w:sz w:val="14"/>
      </w:rPr>
    </w:lvl>
    <w:lvl w:ilvl="2" w:tplc="3AD08616">
      <w:start w:val="1"/>
      <w:numFmt w:val="bullet"/>
      <w:pStyle w:val="SeznamsodrkamiB3"/>
      <w:lvlText w:val=""/>
      <w:lvlJc w:val="left"/>
      <w:pPr>
        <w:ind w:left="1071" w:hanging="357"/>
      </w:pPr>
      <w:rPr>
        <w:rFonts w:ascii="Wingdings 2" w:hAnsi="Wingdings 2" w:hint="default"/>
      </w:rPr>
    </w:lvl>
    <w:lvl w:ilvl="3" w:tplc="9E5A5AD0">
      <w:start w:val="1"/>
      <w:numFmt w:val="bullet"/>
      <w:pStyle w:val="SeznamsodrkamiB4"/>
      <w:lvlText w:val=""/>
      <w:lvlJc w:val="left"/>
      <w:pPr>
        <w:ind w:left="1428" w:hanging="357"/>
      </w:pPr>
      <w:rPr>
        <w:rFonts w:ascii="Wingdings 2" w:hAnsi="Wingdings 2" w:hint="default"/>
      </w:rPr>
    </w:lvl>
    <w:lvl w:ilvl="4" w:tplc="5928C440">
      <w:start w:val="1"/>
      <w:numFmt w:val="bullet"/>
      <w:pStyle w:val="SeznamsodrkamiB5"/>
      <w:lvlText w:val=""/>
      <w:lvlJc w:val="left"/>
      <w:pPr>
        <w:ind w:left="1785" w:hanging="357"/>
      </w:pPr>
      <w:rPr>
        <w:rFonts w:ascii="Wingdings 2" w:hAnsi="Wingdings 2" w:hint="default"/>
      </w:rPr>
    </w:lvl>
    <w:lvl w:ilvl="5" w:tplc="531E15F8">
      <w:start w:val="1"/>
      <w:numFmt w:val="bullet"/>
      <w:lvlText w:val=""/>
      <w:lvlJc w:val="left"/>
      <w:pPr>
        <w:ind w:left="2142" w:hanging="357"/>
      </w:pPr>
      <w:rPr>
        <w:rFonts w:ascii="Wingdings 2" w:hAnsi="Wingdings 2" w:cs="Times New Roman" w:hint="default"/>
      </w:rPr>
    </w:lvl>
    <w:lvl w:ilvl="6" w:tplc="1796132E">
      <w:start w:val="1"/>
      <w:numFmt w:val="bullet"/>
      <w:lvlText w:val=""/>
      <w:lvlJc w:val="left"/>
      <w:pPr>
        <w:ind w:left="2499" w:hanging="357"/>
      </w:pPr>
      <w:rPr>
        <w:rFonts w:ascii="Wingdings 2" w:hAnsi="Wingdings 2" w:cs="Times New Roman" w:hint="default"/>
      </w:rPr>
    </w:lvl>
    <w:lvl w:ilvl="7" w:tplc="3A8C9136">
      <w:start w:val="1"/>
      <w:numFmt w:val="bullet"/>
      <w:lvlText w:val=""/>
      <w:lvlJc w:val="left"/>
      <w:pPr>
        <w:ind w:left="2856" w:hanging="357"/>
      </w:pPr>
      <w:rPr>
        <w:rFonts w:ascii="Wingdings 2" w:hAnsi="Wingdings 2" w:cs="Times New Roman" w:hint="default"/>
      </w:rPr>
    </w:lvl>
    <w:lvl w:ilvl="8" w:tplc="680047C6">
      <w:start w:val="1"/>
      <w:numFmt w:val="bullet"/>
      <w:lvlText w:val=""/>
      <w:lvlJc w:val="left"/>
      <w:pPr>
        <w:ind w:left="3213" w:hanging="357"/>
      </w:pPr>
      <w:rPr>
        <w:rFonts w:ascii="Wingdings 2" w:hAnsi="Wingdings 2" w:cs="Times New Roman" w:hint="default"/>
      </w:rPr>
    </w:lvl>
  </w:abstractNum>
  <w:abstractNum w:abstractNumId="4" w15:restartNumberingAfterBreak="0">
    <w:nsid w:val="17443E55"/>
    <w:multiLevelType w:val="hybridMultilevel"/>
    <w:tmpl w:val="F1D051BA"/>
    <w:lvl w:ilvl="0" w:tplc="54BC07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872DA"/>
    <w:multiLevelType w:val="multilevel"/>
    <w:tmpl w:val="E8A48D7C"/>
    <w:numStyleLink w:val="VariantaA-sla"/>
  </w:abstractNum>
  <w:abstractNum w:abstractNumId="6" w15:restartNumberingAfterBreak="0">
    <w:nsid w:val="19E35ABB"/>
    <w:multiLevelType w:val="hybridMultilevel"/>
    <w:tmpl w:val="F5B6F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5B5123"/>
    <w:multiLevelType w:val="hybridMultilevel"/>
    <w:tmpl w:val="FFBA48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9F5E1B"/>
    <w:multiLevelType w:val="hybridMultilevel"/>
    <w:tmpl w:val="E7C28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CA4367"/>
    <w:multiLevelType w:val="hybridMultilevel"/>
    <w:tmpl w:val="42ECE9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9A5EA2"/>
    <w:multiLevelType w:val="hybridMultilevel"/>
    <w:tmpl w:val="E8BAE50A"/>
    <w:numStyleLink w:val="VariantaA-odrky"/>
  </w:abstractNum>
  <w:abstractNum w:abstractNumId="11" w15:restartNumberingAfterBreak="0">
    <w:nsid w:val="2EBC2FCA"/>
    <w:multiLevelType w:val="hybridMultilevel"/>
    <w:tmpl w:val="4120D2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E14069"/>
    <w:multiLevelType w:val="hybridMultilevel"/>
    <w:tmpl w:val="698A4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FB67B0"/>
    <w:multiLevelType w:val="hybridMultilevel"/>
    <w:tmpl w:val="4404A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C5C4A24"/>
    <w:multiLevelType w:val="hybridMultilevel"/>
    <w:tmpl w:val="2AAC851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E1536A"/>
    <w:multiLevelType w:val="hybridMultilevel"/>
    <w:tmpl w:val="9B9AF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3E001B2"/>
    <w:multiLevelType w:val="hybridMultilevel"/>
    <w:tmpl w:val="59385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126625"/>
    <w:multiLevelType w:val="hybridMultilevel"/>
    <w:tmpl w:val="C56C3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60F34E6"/>
    <w:multiLevelType w:val="hybridMultilevel"/>
    <w:tmpl w:val="C680A2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A321E4"/>
    <w:multiLevelType w:val="hybridMultilevel"/>
    <w:tmpl w:val="E8BAE50A"/>
    <w:styleLink w:val="VariantaA-odrky"/>
    <w:lvl w:ilvl="0" w:tplc="204A3438">
      <w:start w:val="1"/>
      <w:numFmt w:val="bullet"/>
      <w:pStyle w:val="Seznamsodrkami"/>
      <w:lvlText w:val=""/>
      <w:lvlJc w:val="left"/>
      <w:pPr>
        <w:ind w:left="357" w:hanging="357"/>
      </w:pPr>
      <w:rPr>
        <w:rFonts w:ascii="Wingdings" w:hAnsi="Wingdings" w:hint="default"/>
        <w:sz w:val="16"/>
      </w:rPr>
    </w:lvl>
    <w:lvl w:ilvl="1" w:tplc="954AD570">
      <w:start w:val="1"/>
      <w:numFmt w:val="bullet"/>
      <w:pStyle w:val="Seznamsodrkami2"/>
      <w:lvlText w:val=""/>
      <w:lvlJc w:val="left"/>
      <w:pPr>
        <w:ind w:left="714" w:hanging="357"/>
      </w:pPr>
      <w:rPr>
        <w:rFonts w:ascii="Wingdings" w:hAnsi="Wingdings" w:hint="default"/>
        <w:sz w:val="14"/>
      </w:rPr>
    </w:lvl>
    <w:lvl w:ilvl="2" w:tplc="D0F6F4EE">
      <w:start w:val="1"/>
      <w:numFmt w:val="bullet"/>
      <w:pStyle w:val="Seznamsodrkami3"/>
      <w:lvlText w:val=""/>
      <w:lvlJc w:val="left"/>
      <w:pPr>
        <w:ind w:left="1071" w:hanging="357"/>
      </w:pPr>
      <w:rPr>
        <w:rFonts w:ascii="Wingdings" w:hAnsi="Wingdings" w:hint="default"/>
        <w:sz w:val="10"/>
      </w:rPr>
    </w:lvl>
    <w:lvl w:ilvl="3" w:tplc="0BBEFA5A">
      <w:start w:val="1"/>
      <w:numFmt w:val="bullet"/>
      <w:pStyle w:val="Seznamsodrkami4"/>
      <w:lvlText w:val=""/>
      <w:lvlJc w:val="left"/>
      <w:pPr>
        <w:ind w:left="1428" w:hanging="357"/>
      </w:pPr>
      <w:rPr>
        <w:rFonts w:ascii="Wingdings" w:hAnsi="Wingdings" w:hint="default"/>
        <w:sz w:val="10"/>
      </w:rPr>
    </w:lvl>
    <w:lvl w:ilvl="4" w:tplc="F7F88D2A">
      <w:start w:val="1"/>
      <w:numFmt w:val="bullet"/>
      <w:pStyle w:val="Seznamsodrkami5"/>
      <w:lvlText w:val=""/>
      <w:lvlJc w:val="left"/>
      <w:pPr>
        <w:ind w:left="1785" w:hanging="357"/>
      </w:pPr>
      <w:rPr>
        <w:rFonts w:ascii="Wingdings" w:hAnsi="Wingdings" w:hint="default"/>
        <w:sz w:val="10"/>
      </w:rPr>
    </w:lvl>
    <w:lvl w:ilvl="5" w:tplc="0B0AD970">
      <w:start w:val="1"/>
      <w:numFmt w:val="bullet"/>
      <w:lvlText w:val=""/>
      <w:lvlJc w:val="left"/>
      <w:pPr>
        <w:ind w:left="2142" w:hanging="357"/>
      </w:pPr>
      <w:rPr>
        <w:rFonts w:ascii="Wingdings" w:hAnsi="Wingdings" w:hint="default"/>
        <w:sz w:val="10"/>
      </w:rPr>
    </w:lvl>
    <w:lvl w:ilvl="6" w:tplc="41C23536">
      <w:start w:val="1"/>
      <w:numFmt w:val="bullet"/>
      <w:lvlText w:val=""/>
      <w:lvlJc w:val="left"/>
      <w:pPr>
        <w:ind w:left="2499" w:hanging="357"/>
      </w:pPr>
      <w:rPr>
        <w:rFonts w:ascii="Wingdings" w:hAnsi="Wingdings" w:hint="default"/>
        <w:sz w:val="10"/>
      </w:rPr>
    </w:lvl>
    <w:lvl w:ilvl="7" w:tplc="B22244DA">
      <w:start w:val="1"/>
      <w:numFmt w:val="bullet"/>
      <w:lvlText w:val=""/>
      <w:lvlJc w:val="left"/>
      <w:pPr>
        <w:ind w:left="2856" w:hanging="357"/>
      </w:pPr>
      <w:rPr>
        <w:rFonts w:ascii="Wingdings" w:hAnsi="Wingdings" w:hint="default"/>
        <w:sz w:val="10"/>
      </w:rPr>
    </w:lvl>
    <w:lvl w:ilvl="8" w:tplc="D526C8E2">
      <w:start w:val="1"/>
      <w:numFmt w:val="bullet"/>
      <w:lvlText w:val=""/>
      <w:lvlJc w:val="left"/>
      <w:pPr>
        <w:ind w:left="3213" w:hanging="357"/>
      </w:pPr>
      <w:rPr>
        <w:rFonts w:ascii="Wingdings" w:hAnsi="Wingdings" w:hint="default"/>
        <w:color w:val="000000" w:themeColor="text1"/>
        <w:sz w:val="10"/>
      </w:rPr>
    </w:lvl>
  </w:abstractNum>
  <w:abstractNum w:abstractNumId="21" w15:restartNumberingAfterBreak="0">
    <w:nsid w:val="5AF35F43"/>
    <w:multiLevelType w:val="hybridMultilevel"/>
    <w:tmpl w:val="0D8ABE32"/>
    <w:numStyleLink w:val="VariantaB-sla"/>
  </w:abstractNum>
  <w:abstractNum w:abstractNumId="22" w15:restartNumberingAfterBreak="0">
    <w:nsid w:val="6423642A"/>
    <w:multiLevelType w:val="hybridMultilevel"/>
    <w:tmpl w:val="B8366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66048FE"/>
    <w:multiLevelType w:val="hybridMultilevel"/>
    <w:tmpl w:val="FB78B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B821A06"/>
    <w:multiLevelType w:val="hybridMultilevel"/>
    <w:tmpl w:val="1F8C9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5"/>
  </w:num>
  <w:num w:numId="4">
    <w:abstractNumId w:val="0"/>
  </w:num>
  <w:num w:numId="5">
    <w:abstractNumId w:val="21"/>
  </w:num>
  <w:num w:numId="6">
    <w:abstractNumId w:val="10"/>
  </w:num>
  <w:num w:numId="7">
    <w:abstractNumId w:val="5"/>
  </w:num>
  <w:num w:numId="8">
    <w:abstractNumId w:val="2"/>
  </w:num>
  <w:num w:numId="9">
    <w:abstractNumId w:val="16"/>
  </w:num>
  <w:num w:numId="10">
    <w:abstractNumId w:val="13"/>
  </w:num>
  <w:num w:numId="11">
    <w:abstractNumId w:val="8"/>
  </w:num>
  <w:num w:numId="12">
    <w:abstractNumId w:val="22"/>
  </w:num>
  <w:num w:numId="13">
    <w:abstractNumId w:val="18"/>
  </w:num>
  <w:num w:numId="14">
    <w:abstractNumId w:val="23"/>
  </w:num>
  <w:num w:numId="15">
    <w:abstractNumId w:val="24"/>
  </w:num>
  <w:num w:numId="16">
    <w:abstractNumId w:val="17"/>
  </w:num>
  <w:num w:numId="17">
    <w:abstractNumId w:val="1"/>
  </w:num>
  <w:num w:numId="18">
    <w:abstractNumId w:val="6"/>
  </w:num>
  <w:num w:numId="19">
    <w:abstractNumId w:val="11"/>
  </w:num>
  <w:num w:numId="20">
    <w:abstractNumId w:val="19"/>
  </w:num>
  <w:num w:numId="21">
    <w:abstractNumId w:val="9"/>
  </w:num>
  <w:num w:numId="22">
    <w:abstractNumId w:val="12"/>
  </w:num>
  <w:num w:numId="23">
    <w:abstractNumId w:val="14"/>
  </w:num>
  <w:num w:numId="24">
    <w:abstractNumId w:val="7"/>
  </w:num>
  <w:num w:numId="2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CF"/>
    <w:rsid w:val="00015306"/>
    <w:rsid w:val="0002674B"/>
    <w:rsid w:val="00030685"/>
    <w:rsid w:val="0004162E"/>
    <w:rsid w:val="0004786B"/>
    <w:rsid w:val="00063405"/>
    <w:rsid w:val="000654F6"/>
    <w:rsid w:val="00070134"/>
    <w:rsid w:val="000809B9"/>
    <w:rsid w:val="00081843"/>
    <w:rsid w:val="00083DF4"/>
    <w:rsid w:val="00090B40"/>
    <w:rsid w:val="00095A0A"/>
    <w:rsid w:val="00095EBD"/>
    <w:rsid w:val="000B1B3D"/>
    <w:rsid w:val="000C0598"/>
    <w:rsid w:val="000C4CAF"/>
    <w:rsid w:val="000D652B"/>
    <w:rsid w:val="000E2207"/>
    <w:rsid w:val="00121485"/>
    <w:rsid w:val="001268B0"/>
    <w:rsid w:val="0015052B"/>
    <w:rsid w:val="00154B73"/>
    <w:rsid w:val="001745AA"/>
    <w:rsid w:val="0018051B"/>
    <w:rsid w:val="0019520D"/>
    <w:rsid w:val="001B1E4A"/>
    <w:rsid w:val="001B58AA"/>
    <w:rsid w:val="001C4DFD"/>
    <w:rsid w:val="001D27C0"/>
    <w:rsid w:val="001E74C3"/>
    <w:rsid w:val="001F6937"/>
    <w:rsid w:val="00207FC3"/>
    <w:rsid w:val="00220DE3"/>
    <w:rsid w:val="002424D3"/>
    <w:rsid w:val="0025290D"/>
    <w:rsid w:val="00260372"/>
    <w:rsid w:val="00262DAF"/>
    <w:rsid w:val="00285AED"/>
    <w:rsid w:val="002C20CF"/>
    <w:rsid w:val="002C4FCC"/>
    <w:rsid w:val="002D2B80"/>
    <w:rsid w:val="002E19BA"/>
    <w:rsid w:val="002E2442"/>
    <w:rsid w:val="002F0E8C"/>
    <w:rsid w:val="00304970"/>
    <w:rsid w:val="00310FA0"/>
    <w:rsid w:val="00320481"/>
    <w:rsid w:val="003250CB"/>
    <w:rsid w:val="00333A9E"/>
    <w:rsid w:val="00346C02"/>
    <w:rsid w:val="00351CAF"/>
    <w:rsid w:val="00363201"/>
    <w:rsid w:val="0039063C"/>
    <w:rsid w:val="003A46A8"/>
    <w:rsid w:val="003A51AA"/>
    <w:rsid w:val="003B0E92"/>
    <w:rsid w:val="003B36C4"/>
    <w:rsid w:val="003B565A"/>
    <w:rsid w:val="003D00A1"/>
    <w:rsid w:val="003D3067"/>
    <w:rsid w:val="0041427F"/>
    <w:rsid w:val="00415EC8"/>
    <w:rsid w:val="004509E5"/>
    <w:rsid w:val="00486FB9"/>
    <w:rsid w:val="00493245"/>
    <w:rsid w:val="004C212A"/>
    <w:rsid w:val="004C6BDF"/>
    <w:rsid w:val="004E6019"/>
    <w:rsid w:val="00500232"/>
    <w:rsid w:val="005015C4"/>
    <w:rsid w:val="00504668"/>
    <w:rsid w:val="00504DF6"/>
    <w:rsid w:val="005119E2"/>
    <w:rsid w:val="00536992"/>
    <w:rsid w:val="005455E1"/>
    <w:rsid w:val="005502BD"/>
    <w:rsid w:val="00556787"/>
    <w:rsid w:val="00582276"/>
    <w:rsid w:val="00586036"/>
    <w:rsid w:val="005B0632"/>
    <w:rsid w:val="005B3F5C"/>
    <w:rsid w:val="005C2560"/>
    <w:rsid w:val="005C4AD7"/>
    <w:rsid w:val="005D1A33"/>
    <w:rsid w:val="005F7585"/>
    <w:rsid w:val="00603DA9"/>
    <w:rsid w:val="00605759"/>
    <w:rsid w:val="00650C6C"/>
    <w:rsid w:val="00652FE6"/>
    <w:rsid w:val="00660826"/>
    <w:rsid w:val="00660D1F"/>
    <w:rsid w:val="00667898"/>
    <w:rsid w:val="00677FE0"/>
    <w:rsid w:val="006953C3"/>
    <w:rsid w:val="006B6764"/>
    <w:rsid w:val="006C30EB"/>
    <w:rsid w:val="006D04EF"/>
    <w:rsid w:val="006E0EF7"/>
    <w:rsid w:val="006E2FB0"/>
    <w:rsid w:val="006F1BEA"/>
    <w:rsid w:val="007102D2"/>
    <w:rsid w:val="00712D72"/>
    <w:rsid w:val="00713948"/>
    <w:rsid w:val="0072734C"/>
    <w:rsid w:val="00741CFD"/>
    <w:rsid w:val="00753A27"/>
    <w:rsid w:val="0079342A"/>
    <w:rsid w:val="007A2737"/>
    <w:rsid w:val="007B4949"/>
    <w:rsid w:val="007C0788"/>
    <w:rsid w:val="007C6A25"/>
    <w:rsid w:val="007E55C0"/>
    <w:rsid w:val="007F0BC6"/>
    <w:rsid w:val="00831374"/>
    <w:rsid w:val="00852465"/>
    <w:rsid w:val="00857580"/>
    <w:rsid w:val="00865238"/>
    <w:rsid w:val="00866685"/>
    <w:rsid w:val="008667BF"/>
    <w:rsid w:val="00895645"/>
    <w:rsid w:val="008A7851"/>
    <w:rsid w:val="008C3782"/>
    <w:rsid w:val="008D4A32"/>
    <w:rsid w:val="008D593A"/>
    <w:rsid w:val="008E7760"/>
    <w:rsid w:val="0091766D"/>
    <w:rsid w:val="00922001"/>
    <w:rsid w:val="00922C17"/>
    <w:rsid w:val="009325EA"/>
    <w:rsid w:val="00942DDD"/>
    <w:rsid w:val="009516A8"/>
    <w:rsid w:val="0097705C"/>
    <w:rsid w:val="00996DF6"/>
    <w:rsid w:val="009B503A"/>
    <w:rsid w:val="009C04D3"/>
    <w:rsid w:val="009F393D"/>
    <w:rsid w:val="009F7F46"/>
    <w:rsid w:val="00A000BF"/>
    <w:rsid w:val="00A0587E"/>
    <w:rsid w:val="00A24C1F"/>
    <w:rsid w:val="00A275BC"/>
    <w:rsid w:val="00A356B5"/>
    <w:rsid w:val="00A464B4"/>
    <w:rsid w:val="00A63D6B"/>
    <w:rsid w:val="00A6430F"/>
    <w:rsid w:val="00A84B52"/>
    <w:rsid w:val="00A8660F"/>
    <w:rsid w:val="00A87B13"/>
    <w:rsid w:val="00A95C48"/>
    <w:rsid w:val="00AA7056"/>
    <w:rsid w:val="00AB31C6"/>
    <w:rsid w:val="00AB523B"/>
    <w:rsid w:val="00AD7E40"/>
    <w:rsid w:val="00AF2980"/>
    <w:rsid w:val="00AF3BAB"/>
    <w:rsid w:val="00B1114A"/>
    <w:rsid w:val="00B1477A"/>
    <w:rsid w:val="00B159C9"/>
    <w:rsid w:val="00B1729A"/>
    <w:rsid w:val="00B20993"/>
    <w:rsid w:val="00B31350"/>
    <w:rsid w:val="00B33950"/>
    <w:rsid w:val="00B42E96"/>
    <w:rsid w:val="00B50EE6"/>
    <w:rsid w:val="00B52185"/>
    <w:rsid w:val="00B94A2A"/>
    <w:rsid w:val="00B97163"/>
    <w:rsid w:val="00B9753A"/>
    <w:rsid w:val="00BB479C"/>
    <w:rsid w:val="00BC4720"/>
    <w:rsid w:val="00BD0B80"/>
    <w:rsid w:val="00BD73EE"/>
    <w:rsid w:val="00BD75A2"/>
    <w:rsid w:val="00C2017A"/>
    <w:rsid w:val="00C2026B"/>
    <w:rsid w:val="00C20470"/>
    <w:rsid w:val="00C34B2F"/>
    <w:rsid w:val="00C4641B"/>
    <w:rsid w:val="00C6690E"/>
    <w:rsid w:val="00C703C5"/>
    <w:rsid w:val="00C805F2"/>
    <w:rsid w:val="00C925FB"/>
    <w:rsid w:val="00C96099"/>
    <w:rsid w:val="00C96EFE"/>
    <w:rsid w:val="00CC5E40"/>
    <w:rsid w:val="00CE0581"/>
    <w:rsid w:val="00CF104D"/>
    <w:rsid w:val="00CF21D8"/>
    <w:rsid w:val="00CF3324"/>
    <w:rsid w:val="00D1569F"/>
    <w:rsid w:val="00D20B1E"/>
    <w:rsid w:val="00D22462"/>
    <w:rsid w:val="00D230AC"/>
    <w:rsid w:val="00D32489"/>
    <w:rsid w:val="00D3349E"/>
    <w:rsid w:val="00D71EF7"/>
    <w:rsid w:val="00D73CB8"/>
    <w:rsid w:val="00D76F54"/>
    <w:rsid w:val="00DA7591"/>
    <w:rsid w:val="00DB6F34"/>
    <w:rsid w:val="00DC646D"/>
    <w:rsid w:val="00DE0ED4"/>
    <w:rsid w:val="00E237E4"/>
    <w:rsid w:val="00E32798"/>
    <w:rsid w:val="00E33CC8"/>
    <w:rsid w:val="00E51C91"/>
    <w:rsid w:val="00E56F24"/>
    <w:rsid w:val="00E667C1"/>
    <w:rsid w:val="00E67EEC"/>
    <w:rsid w:val="00EC3F88"/>
    <w:rsid w:val="00ED337B"/>
    <w:rsid w:val="00ED36D8"/>
    <w:rsid w:val="00ED612A"/>
    <w:rsid w:val="00EE6BD7"/>
    <w:rsid w:val="00EE74D0"/>
    <w:rsid w:val="00EF374D"/>
    <w:rsid w:val="00F0689D"/>
    <w:rsid w:val="00F3526D"/>
    <w:rsid w:val="00F36A11"/>
    <w:rsid w:val="00F8491A"/>
    <w:rsid w:val="00FB01B5"/>
    <w:rsid w:val="00FB2FFA"/>
    <w:rsid w:val="00FC39F6"/>
    <w:rsid w:val="03C170FB"/>
    <w:rsid w:val="04324917"/>
    <w:rsid w:val="24FF3C1B"/>
    <w:rsid w:val="2ECE8498"/>
    <w:rsid w:val="33AD2E83"/>
    <w:rsid w:val="606CD914"/>
    <w:rsid w:val="625B7AF5"/>
    <w:rsid w:val="63429056"/>
    <w:rsid w:val="73C28B26"/>
    <w:rsid w:val="769D3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9198F2"/>
  <w15:chartTrackingRefBased/>
  <w15:docId w15:val="{9CE5CF7E-876D-45A3-ADD2-AE09E8A0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nhideWhenUsed="1"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A87B13"/>
    <w:pPr>
      <w:spacing w:after="160" w:line="293" w:lineRule="auto"/>
    </w:pPr>
    <w:rPr>
      <w:color w:val="000000" w:themeColor="text1"/>
    </w:rPr>
  </w:style>
  <w:style w:type="paragraph" w:styleId="Nadpis1">
    <w:name w:val="heading 1"/>
    <w:basedOn w:val="Normln"/>
    <w:next w:val="Normln"/>
    <w:link w:val="Nadpis1Char"/>
    <w:uiPriority w:val="7"/>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7"/>
      </w:numPr>
      <w:spacing w:after="0"/>
    </w:pPr>
  </w:style>
  <w:style w:type="paragraph" w:styleId="slovanseznam2">
    <w:name w:val="List Number 2"/>
    <w:aliases w:val="Číslovaný seznam A 2"/>
    <w:basedOn w:val="Normln"/>
    <w:uiPriority w:val="15"/>
    <w:rsid w:val="001B1E4A"/>
    <w:pPr>
      <w:numPr>
        <w:ilvl w:val="1"/>
        <w:numId w:val="7"/>
      </w:numPr>
      <w:spacing w:after="0"/>
      <w:contextualSpacing/>
    </w:pPr>
  </w:style>
  <w:style w:type="paragraph" w:styleId="slovanseznam3">
    <w:name w:val="List Number 3"/>
    <w:aliases w:val="Číslovaný seznam A 3"/>
    <w:basedOn w:val="Normln"/>
    <w:uiPriority w:val="15"/>
    <w:rsid w:val="001B1E4A"/>
    <w:pPr>
      <w:numPr>
        <w:ilvl w:val="2"/>
        <w:numId w:val="7"/>
      </w:numPr>
      <w:spacing w:after="0"/>
      <w:contextualSpacing/>
    </w:pPr>
  </w:style>
  <w:style w:type="paragraph" w:styleId="slovanseznam4">
    <w:name w:val="List Number 4"/>
    <w:aliases w:val="Číslovaný seznam A 4"/>
    <w:basedOn w:val="Normln"/>
    <w:uiPriority w:val="15"/>
    <w:rsid w:val="001B1E4A"/>
    <w:pPr>
      <w:numPr>
        <w:ilvl w:val="3"/>
        <w:numId w:val="7"/>
      </w:numPr>
      <w:spacing w:after="0"/>
      <w:contextualSpacing/>
    </w:pPr>
  </w:style>
  <w:style w:type="paragraph" w:styleId="slovanseznam5">
    <w:name w:val="List Number 5"/>
    <w:aliases w:val="Číslovaný seznam A 5"/>
    <w:basedOn w:val="Normln"/>
    <w:uiPriority w:val="15"/>
    <w:rsid w:val="001B1E4A"/>
    <w:pPr>
      <w:numPr>
        <w:ilvl w:val="4"/>
        <w:numId w:val="7"/>
      </w:numPr>
      <w:spacing w:after="0"/>
      <w:contextualSpacing/>
    </w:pPr>
  </w:style>
  <w:style w:type="paragraph" w:customStyle="1" w:styleId="slovanseznamB">
    <w:name w:val="Číslovaný seznam B"/>
    <w:basedOn w:val="Normln"/>
    <w:uiPriority w:val="16"/>
    <w:rsid w:val="009F7F46"/>
    <w:pPr>
      <w:numPr>
        <w:numId w:val="5"/>
      </w:numPr>
      <w:spacing w:after="0"/>
    </w:pPr>
  </w:style>
  <w:style w:type="paragraph" w:customStyle="1" w:styleId="slovanseznamB2">
    <w:name w:val="Číslovaný seznam B 2"/>
    <w:basedOn w:val="Normln"/>
    <w:uiPriority w:val="16"/>
    <w:rsid w:val="009F7F46"/>
    <w:pPr>
      <w:numPr>
        <w:ilvl w:val="1"/>
        <w:numId w:val="5"/>
      </w:numPr>
      <w:spacing w:after="0"/>
    </w:pPr>
  </w:style>
  <w:style w:type="paragraph" w:customStyle="1" w:styleId="slovanseznamB3">
    <w:name w:val="Číslovaný seznam B 3"/>
    <w:basedOn w:val="Normln"/>
    <w:uiPriority w:val="16"/>
    <w:rsid w:val="009F7F46"/>
    <w:pPr>
      <w:numPr>
        <w:ilvl w:val="2"/>
        <w:numId w:val="5"/>
      </w:numPr>
      <w:spacing w:after="0"/>
    </w:pPr>
  </w:style>
  <w:style w:type="paragraph" w:customStyle="1" w:styleId="slovanseznamB4">
    <w:name w:val="Číslovaný seznam B 4"/>
    <w:basedOn w:val="Normln"/>
    <w:uiPriority w:val="16"/>
    <w:rsid w:val="009F7F46"/>
    <w:pPr>
      <w:numPr>
        <w:ilvl w:val="3"/>
        <w:numId w:val="5"/>
      </w:numPr>
      <w:spacing w:after="0"/>
    </w:pPr>
  </w:style>
  <w:style w:type="paragraph" w:customStyle="1" w:styleId="slovanseznamB5">
    <w:name w:val="Číslovaný seznam B 5"/>
    <w:basedOn w:val="Normln"/>
    <w:uiPriority w:val="16"/>
    <w:rsid w:val="009F7F46"/>
    <w:pPr>
      <w:numPr>
        <w:ilvl w:val="4"/>
        <w:numId w:val="5"/>
      </w:numPr>
      <w:spacing w:after="0"/>
    </w:pPr>
  </w:style>
  <w:style w:type="paragraph" w:styleId="Seznamsodrkami3">
    <w:name w:val="List Bullet 3"/>
    <w:aliases w:val="Seznam s odrážkami A 3"/>
    <w:basedOn w:val="Normln"/>
    <w:uiPriority w:val="10"/>
    <w:rsid w:val="00262DAF"/>
    <w:pPr>
      <w:numPr>
        <w:ilvl w:val="2"/>
        <w:numId w:val="6"/>
      </w:numPr>
      <w:spacing w:after="0"/>
      <w:contextualSpacing/>
    </w:pPr>
  </w:style>
  <w:style w:type="paragraph" w:styleId="Seznamsodrkami4">
    <w:name w:val="List Bullet 4"/>
    <w:aliases w:val="Seznam s odrážkami A 4"/>
    <w:basedOn w:val="Normln"/>
    <w:uiPriority w:val="10"/>
    <w:rsid w:val="00262DAF"/>
    <w:pPr>
      <w:numPr>
        <w:ilvl w:val="3"/>
        <w:numId w:val="6"/>
      </w:numPr>
      <w:spacing w:after="0"/>
      <w:contextualSpacing/>
    </w:pPr>
  </w:style>
  <w:style w:type="paragraph" w:styleId="Seznamsodrkami5">
    <w:name w:val="List Bullet 5"/>
    <w:aliases w:val="Seznam s odrážkami A 5"/>
    <w:basedOn w:val="Normln"/>
    <w:uiPriority w:val="10"/>
    <w:rsid w:val="00262DAF"/>
    <w:pPr>
      <w:numPr>
        <w:ilvl w:val="4"/>
        <w:numId w:val="6"/>
      </w:numPr>
      <w:spacing w:after="0"/>
    </w:pPr>
  </w:style>
  <w:style w:type="paragraph" w:styleId="Seznamsodrkami">
    <w:name w:val="List Bullet"/>
    <w:aliases w:val="Seznam s odrážkami A"/>
    <w:basedOn w:val="Normln"/>
    <w:uiPriority w:val="10"/>
    <w:rsid w:val="00262DAF"/>
    <w:pPr>
      <w:numPr>
        <w:numId w:val="6"/>
      </w:numPr>
      <w:spacing w:after="0"/>
      <w:contextualSpacing/>
    </w:pPr>
  </w:style>
  <w:style w:type="paragraph" w:styleId="Seznamsodrkami2">
    <w:name w:val="List Bullet 2"/>
    <w:aliases w:val="Seznam s odrážkami A 2"/>
    <w:basedOn w:val="Normln"/>
    <w:uiPriority w:val="10"/>
    <w:rsid w:val="00262DAF"/>
    <w:pPr>
      <w:numPr>
        <w:ilvl w:val="1"/>
        <w:numId w:val="6"/>
      </w:numPr>
      <w:spacing w:after="0"/>
      <w:contextualSpacing/>
    </w:pPr>
  </w:style>
  <w:style w:type="paragraph" w:customStyle="1" w:styleId="Nadpis1-mimoobsah">
    <w:name w:val="Nadpis 1 - mimo obsah"/>
    <w:basedOn w:val="Normln"/>
    <w:next w:val="Normln"/>
    <w:uiPriority w:val="8"/>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rsid w:val="007102D2"/>
    <w:pPr>
      <w:numPr>
        <w:numId w:val="8"/>
      </w:numPr>
      <w:spacing w:after="0"/>
    </w:pPr>
  </w:style>
  <w:style w:type="paragraph" w:customStyle="1" w:styleId="SeznamsodrkamiB2">
    <w:name w:val="Seznam s odrážkami B 2"/>
    <w:basedOn w:val="Normln"/>
    <w:uiPriority w:val="11"/>
    <w:rsid w:val="007102D2"/>
    <w:pPr>
      <w:numPr>
        <w:ilvl w:val="1"/>
        <w:numId w:val="8"/>
      </w:numPr>
      <w:spacing w:after="0"/>
    </w:pPr>
  </w:style>
  <w:style w:type="paragraph" w:customStyle="1" w:styleId="SeznamsodrkamiB3">
    <w:name w:val="Seznam s odrážkami B 3"/>
    <w:basedOn w:val="Normln"/>
    <w:uiPriority w:val="11"/>
    <w:rsid w:val="007102D2"/>
    <w:pPr>
      <w:numPr>
        <w:ilvl w:val="2"/>
        <w:numId w:val="8"/>
      </w:numPr>
      <w:spacing w:after="0"/>
    </w:pPr>
  </w:style>
  <w:style w:type="paragraph" w:customStyle="1" w:styleId="SeznamsodrkamiB4">
    <w:name w:val="Seznam s odrážkami B 4"/>
    <w:basedOn w:val="Normln"/>
    <w:uiPriority w:val="11"/>
    <w:rsid w:val="007102D2"/>
    <w:pPr>
      <w:numPr>
        <w:ilvl w:val="3"/>
        <w:numId w:val="8"/>
      </w:numPr>
      <w:spacing w:after="0"/>
    </w:pPr>
  </w:style>
  <w:style w:type="paragraph" w:customStyle="1" w:styleId="SeznamsodrkamiB5">
    <w:name w:val="Seznam s odrážkami B 5"/>
    <w:basedOn w:val="Normln"/>
    <w:uiPriority w:val="11"/>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CE058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E0581"/>
    <w:rPr>
      <w:color w:val="000000" w:themeColor="text1"/>
      <w:sz w:val="20"/>
      <w:szCs w:val="20"/>
    </w:rPr>
  </w:style>
  <w:style w:type="character" w:styleId="Znakapoznpodarou">
    <w:name w:val="footnote reference"/>
    <w:basedOn w:val="Standardnpsmoodstavce"/>
    <w:uiPriority w:val="99"/>
    <w:semiHidden/>
    <w:unhideWhenUsed/>
    <w:rsid w:val="00CE0581"/>
    <w:rPr>
      <w:vertAlign w:val="superscript"/>
    </w:rPr>
  </w:style>
  <w:style w:type="character" w:styleId="Nevyeenzmnka">
    <w:name w:val="Unresolved Mention"/>
    <w:basedOn w:val="Standardnpsmoodstavce"/>
    <w:uiPriority w:val="99"/>
    <w:semiHidden/>
    <w:unhideWhenUsed/>
    <w:rsid w:val="009325EA"/>
    <w:rPr>
      <w:color w:val="605E5C"/>
      <w:shd w:val="clear" w:color="auto" w:fill="E1DFDD"/>
    </w:rPr>
  </w:style>
  <w:style w:type="paragraph" w:customStyle="1" w:styleId="K-Nadpis1">
    <w:name w:val="K-Nadpis1"/>
    <w:basedOn w:val="Nadpis1"/>
    <w:link w:val="K-Nadpis1Char"/>
    <w:qFormat/>
    <w:rsid w:val="00154B73"/>
    <w:rPr>
      <w:rFonts w:ascii="Times New Roman" w:hAnsi="Times New Roman" w:cs="Times New Roman"/>
      <w:sz w:val="32"/>
    </w:rPr>
  </w:style>
  <w:style w:type="paragraph" w:customStyle="1" w:styleId="K-Nadpis2">
    <w:name w:val="K-Nadpis2"/>
    <w:basedOn w:val="Nadpis2"/>
    <w:link w:val="K-Nadpis2Char"/>
    <w:qFormat/>
    <w:rsid w:val="00154B73"/>
    <w:rPr>
      <w:rFonts w:ascii="Times New Roman" w:hAnsi="Times New Roman" w:cs="Times New Roman"/>
      <w:sz w:val="28"/>
      <w:szCs w:val="28"/>
    </w:rPr>
  </w:style>
  <w:style w:type="character" w:customStyle="1" w:styleId="K-Nadpis1Char">
    <w:name w:val="K-Nadpis1 Char"/>
    <w:basedOn w:val="Nadpis1Char"/>
    <w:link w:val="K-Nadpis1"/>
    <w:rsid w:val="00154B73"/>
    <w:rPr>
      <w:rFonts w:ascii="Times New Roman" w:eastAsiaTheme="majorEastAsia" w:hAnsi="Times New Roman" w:cs="Times New Roman"/>
      <w:b/>
      <w:color w:val="000000" w:themeColor="text1"/>
      <w:sz w:val="32"/>
      <w:szCs w:val="32"/>
    </w:rPr>
  </w:style>
  <w:style w:type="paragraph" w:customStyle="1" w:styleId="K-Nadpis3">
    <w:name w:val="K-Nadpis3"/>
    <w:basedOn w:val="Default"/>
    <w:link w:val="K-Nadpis3Char"/>
    <w:qFormat/>
    <w:rsid w:val="00154B73"/>
    <w:pPr>
      <w:spacing w:after="120"/>
      <w:jc w:val="both"/>
    </w:pPr>
    <w:rPr>
      <w:b/>
      <w:szCs w:val="23"/>
    </w:rPr>
  </w:style>
  <w:style w:type="character" w:customStyle="1" w:styleId="K-Nadpis2Char">
    <w:name w:val="K-Nadpis2 Char"/>
    <w:basedOn w:val="Nadpis2Char"/>
    <w:link w:val="K-Nadpis2"/>
    <w:rsid w:val="00154B73"/>
    <w:rPr>
      <w:rFonts w:ascii="Times New Roman" w:eastAsiaTheme="majorEastAsia" w:hAnsi="Times New Roman" w:cs="Times New Roman"/>
      <w:b/>
      <w:color w:val="000000" w:themeColor="text1"/>
      <w:sz w:val="28"/>
      <w:szCs w:val="28"/>
    </w:rPr>
  </w:style>
  <w:style w:type="paragraph" w:customStyle="1" w:styleId="K-Text">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customStyle="1" w:styleId="DefaultChar">
    <w:name w:val="Default Char"/>
    <w:basedOn w:val="Standardnpsmoodstavce"/>
    <w:link w:val="Default"/>
    <w:rsid w:val="00154B73"/>
    <w:rPr>
      <w:rFonts w:ascii="Times New Roman" w:hAnsi="Times New Roman" w:cs="Times New Roman"/>
      <w:color w:val="000000"/>
      <w:sz w:val="24"/>
      <w:szCs w:val="24"/>
    </w:rPr>
  </w:style>
  <w:style w:type="character" w:customStyle="1" w:styleId="K-Nadpis3Char">
    <w:name w:val="K-Nadpis3 Char"/>
    <w:basedOn w:val="DefaultChar"/>
    <w:link w:val="K-Nadpis3"/>
    <w:rsid w:val="00154B73"/>
    <w:rPr>
      <w:rFonts w:ascii="Times New Roman" w:hAnsi="Times New Roman" w:cs="Times New Roman"/>
      <w:b/>
      <w:color w:val="000000"/>
      <w:sz w:val="24"/>
      <w:szCs w:val="23"/>
    </w:rPr>
  </w:style>
  <w:style w:type="paragraph" w:customStyle="1" w:styleId="K-TextInfo">
    <w:name w:val="K-Text_Info"/>
    <w:basedOn w:val="Default"/>
    <w:link w:val="K-TextInfoChar"/>
    <w:qFormat/>
    <w:rsid w:val="00ED337B"/>
    <w:pPr>
      <w:spacing w:after="120"/>
      <w:jc w:val="both"/>
    </w:pPr>
    <w:rPr>
      <w:i/>
      <w:iCs/>
      <w:color w:val="2196FF" w:themeColor="text2" w:themeTint="99"/>
      <w:sz w:val="23"/>
      <w:szCs w:val="23"/>
    </w:rPr>
  </w:style>
  <w:style w:type="character" w:customStyle="1" w:styleId="K-TextChar">
    <w:name w:val="K-Text Char"/>
    <w:basedOn w:val="Standardnpsmoodstavce"/>
    <w:link w:val="K-Text"/>
    <w:rsid w:val="006F1BEA"/>
    <w:rPr>
      <w:rFonts w:ascii="Times New Roman" w:hAnsi="Times New Roman" w:cs="Times New Roman"/>
      <w:iCs/>
      <w:sz w:val="23"/>
      <w:szCs w:val="23"/>
    </w:rPr>
  </w:style>
  <w:style w:type="paragraph" w:customStyle="1" w:styleId="K-Tabulka">
    <w:name w:val="K-Tabulka"/>
    <w:basedOn w:val="Default"/>
    <w:link w:val="K-TabulkaChar"/>
    <w:qFormat/>
    <w:rsid w:val="00ED337B"/>
    <w:pPr>
      <w:spacing w:after="120"/>
      <w:jc w:val="both"/>
    </w:pPr>
    <w:rPr>
      <w:b/>
      <w:bCs/>
      <w:color w:val="auto"/>
      <w:sz w:val="23"/>
      <w:szCs w:val="23"/>
    </w:rPr>
  </w:style>
  <w:style w:type="character" w:customStyle="1" w:styleId="K-TextInfoChar">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customStyle="1" w:styleId="K-TextPozn">
    <w:name w:val="K-Text_Pozn"/>
    <w:basedOn w:val="Textpoznpodarou"/>
    <w:link w:val="K-TextPoznChar"/>
    <w:qFormat/>
    <w:rsid w:val="00A87B13"/>
    <w:rPr>
      <w:rFonts w:ascii="Times New Roman" w:hAnsi="Times New Roman" w:cs="Times New Roman"/>
    </w:rPr>
  </w:style>
  <w:style w:type="character" w:customStyle="1" w:styleId="K-TabulkaChar">
    <w:name w:val="K-Tabulka Char"/>
    <w:basedOn w:val="DefaultChar"/>
    <w:link w:val="K-Tabulka"/>
    <w:rsid w:val="00ED337B"/>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semiHidden/>
    <w:unhideWhenUsed/>
    <w:rsid w:val="00B1114A"/>
    <w:pPr>
      <w:spacing w:line="240" w:lineRule="auto"/>
    </w:pPr>
    <w:rPr>
      <w:sz w:val="20"/>
      <w:szCs w:val="20"/>
    </w:rPr>
  </w:style>
  <w:style w:type="character" w:customStyle="1" w:styleId="TextkomenteChar">
    <w:name w:val="Text komentáře Char"/>
    <w:basedOn w:val="Standardnpsmoodstavce"/>
    <w:link w:val="Textkomente"/>
    <w:uiPriority w:val="99"/>
    <w:semiHidden/>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customStyle="1" w:styleId="PedmtkomenteChar">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basedOn w:val="Normlntabulka"/>
    <w:uiPriority w:val="39"/>
    <w:rsid w:val="0085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501">
      <w:bodyDiv w:val="1"/>
      <w:marLeft w:val="0"/>
      <w:marRight w:val="0"/>
      <w:marTop w:val="0"/>
      <w:marBottom w:val="0"/>
      <w:divBdr>
        <w:top w:val="none" w:sz="0" w:space="0" w:color="auto"/>
        <w:left w:val="none" w:sz="0" w:space="0" w:color="auto"/>
        <w:bottom w:val="none" w:sz="0" w:space="0" w:color="auto"/>
        <w:right w:val="none" w:sz="0" w:space="0" w:color="auto"/>
      </w:divBdr>
    </w:div>
    <w:div w:id="347559460">
      <w:bodyDiv w:val="1"/>
      <w:marLeft w:val="0"/>
      <w:marRight w:val="0"/>
      <w:marTop w:val="0"/>
      <w:marBottom w:val="0"/>
      <w:divBdr>
        <w:top w:val="none" w:sz="0" w:space="0" w:color="auto"/>
        <w:left w:val="none" w:sz="0" w:space="0" w:color="auto"/>
        <w:bottom w:val="none" w:sz="0" w:space="0" w:color="auto"/>
        <w:right w:val="none" w:sz="0" w:space="0" w:color="auto"/>
      </w:divBdr>
    </w:div>
    <w:div w:id="377897478">
      <w:bodyDiv w:val="1"/>
      <w:marLeft w:val="0"/>
      <w:marRight w:val="0"/>
      <w:marTop w:val="0"/>
      <w:marBottom w:val="0"/>
      <w:divBdr>
        <w:top w:val="none" w:sz="0" w:space="0" w:color="auto"/>
        <w:left w:val="none" w:sz="0" w:space="0" w:color="auto"/>
        <w:bottom w:val="none" w:sz="0" w:space="0" w:color="auto"/>
        <w:right w:val="none" w:sz="0" w:space="0" w:color="auto"/>
      </w:divBdr>
    </w:div>
    <w:div w:id="397628066">
      <w:bodyDiv w:val="1"/>
      <w:marLeft w:val="0"/>
      <w:marRight w:val="0"/>
      <w:marTop w:val="0"/>
      <w:marBottom w:val="0"/>
      <w:divBdr>
        <w:top w:val="none" w:sz="0" w:space="0" w:color="auto"/>
        <w:left w:val="none" w:sz="0" w:space="0" w:color="auto"/>
        <w:bottom w:val="none" w:sz="0" w:space="0" w:color="auto"/>
        <w:right w:val="none" w:sz="0" w:space="0" w:color="auto"/>
      </w:divBdr>
    </w:div>
    <w:div w:id="418016893">
      <w:bodyDiv w:val="1"/>
      <w:marLeft w:val="0"/>
      <w:marRight w:val="0"/>
      <w:marTop w:val="0"/>
      <w:marBottom w:val="0"/>
      <w:divBdr>
        <w:top w:val="none" w:sz="0" w:space="0" w:color="auto"/>
        <w:left w:val="none" w:sz="0" w:space="0" w:color="auto"/>
        <w:bottom w:val="none" w:sz="0" w:space="0" w:color="auto"/>
        <w:right w:val="none" w:sz="0" w:space="0" w:color="auto"/>
      </w:divBdr>
    </w:div>
    <w:div w:id="442112209">
      <w:bodyDiv w:val="1"/>
      <w:marLeft w:val="0"/>
      <w:marRight w:val="0"/>
      <w:marTop w:val="0"/>
      <w:marBottom w:val="0"/>
      <w:divBdr>
        <w:top w:val="none" w:sz="0" w:space="0" w:color="auto"/>
        <w:left w:val="none" w:sz="0" w:space="0" w:color="auto"/>
        <w:bottom w:val="none" w:sz="0" w:space="0" w:color="auto"/>
        <w:right w:val="none" w:sz="0" w:space="0" w:color="auto"/>
      </w:divBdr>
    </w:div>
    <w:div w:id="469828831">
      <w:bodyDiv w:val="1"/>
      <w:marLeft w:val="0"/>
      <w:marRight w:val="0"/>
      <w:marTop w:val="0"/>
      <w:marBottom w:val="0"/>
      <w:divBdr>
        <w:top w:val="none" w:sz="0" w:space="0" w:color="auto"/>
        <w:left w:val="none" w:sz="0" w:space="0" w:color="auto"/>
        <w:bottom w:val="none" w:sz="0" w:space="0" w:color="auto"/>
        <w:right w:val="none" w:sz="0" w:space="0" w:color="auto"/>
      </w:divBdr>
    </w:div>
    <w:div w:id="480853312">
      <w:bodyDiv w:val="1"/>
      <w:marLeft w:val="0"/>
      <w:marRight w:val="0"/>
      <w:marTop w:val="0"/>
      <w:marBottom w:val="0"/>
      <w:divBdr>
        <w:top w:val="none" w:sz="0" w:space="0" w:color="auto"/>
        <w:left w:val="none" w:sz="0" w:space="0" w:color="auto"/>
        <w:bottom w:val="none" w:sz="0" w:space="0" w:color="auto"/>
        <w:right w:val="none" w:sz="0" w:space="0" w:color="auto"/>
      </w:divBdr>
    </w:div>
    <w:div w:id="559049893">
      <w:bodyDiv w:val="1"/>
      <w:marLeft w:val="0"/>
      <w:marRight w:val="0"/>
      <w:marTop w:val="0"/>
      <w:marBottom w:val="0"/>
      <w:divBdr>
        <w:top w:val="none" w:sz="0" w:space="0" w:color="auto"/>
        <w:left w:val="none" w:sz="0" w:space="0" w:color="auto"/>
        <w:bottom w:val="none" w:sz="0" w:space="0" w:color="auto"/>
        <w:right w:val="none" w:sz="0" w:space="0" w:color="auto"/>
      </w:divBdr>
    </w:div>
    <w:div w:id="570501538">
      <w:bodyDiv w:val="1"/>
      <w:marLeft w:val="0"/>
      <w:marRight w:val="0"/>
      <w:marTop w:val="0"/>
      <w:marBottom w:val="0"/>
      <w:divBdr>
        <w:top w:val="none" w:sz="0" w:space="0" w:color="auto"/>
        <w:left w:val="none" w:sz="0" w:space="0" w:color="auto"/>
        <w:bottom w:val="none" w:sz="0" w:space="0" w:color="auto"/>
        <w:right w:val="none" w:sz="0" w:space="0" w:color="auto"/>
      </w:divBdr>
    </w:div>
    <w:div w:id="622537683">
      <w:bodyDiv w:val="1"/>
      <w:marLeft w:val="0"/>
      <w:marRight w:val="0"/>
      <w:marTop w:val="0"/>
      <w:marBottom w:val="0"/>
      <w:divBdr>
        <w:top w:val="none" w:sz="0" w:space="0" w:color="auto"/>
        <w:left w:val="none" w:sz="0" w:space="0" w:color="auto"/>
        <w:bottom w:val="none" w:sz="0" w:space="0" w:color="auto"/>
        <w:right w:val="none" w:sz="0" w:space="0" w:color="auto"/>
      </w:divBdr>
    </w:div>
    <w:div w:id="667640679">
      <w:bodyDiv w:val="1"/>
      <w:marLeft w:val="0"/>
      <w:marRight w:val="0"/>
      <w:marTop w:val="0"/>
      <w:marBottom w:val="0"/>
      <w:divBdr>
        <w:top w:val="none" w:sz="0" w:space="0" w:color="auto"/>
        <w:left w:val="none" w:sz="0" w:space="0" w:color="auto"/>
        <w:bottom w:val="none" w:sz="0" w:space="0" w:color="auto"/>
        <w:right w:val="none" w:sz="0" w:space="0" w:color="auto"/>
      </w:divBdr>
    </w:div>
    <w:div w:id="751271567">
      <w:bodyDiv w:val="1"/>
      <w:marLeft w:val="0"/>
      <w:marRight w:val="0"/>
      <w:marTop w:val="0"/>
      <w:marBottom w:val="0"/>
      <w:divBdr>
        <w:top w:val="none" w:sz="0" w:space="0" w:color="auto"/>
        <w:left w:val="none" w:sz="0" w:space="0" w:color="auto"/>
        <w:bottom w:val="none" w:sz="0" w:space="0" w:color="auto"/>
        <w:right w:val="none" w:sz="0" w:space="0" w:color="auto"/>
      </w:divBdr>
    </w:div>
    <w:div w:id="784498656">
      <w:bodyDiv w:val="1"/>
      <w:marLeft w:val="0"/>
      <w:marRight w:val="0"/>
      <w:marTop w:val="0"/>
      <w:marBottom w:val="0"/>
      <w:divBdr>
        <w:top w:val="none" w:sz="0" w:space="0" w:color="auto"/>
        <w:left w:val="none" w:sz="0" w:space="0" w:color="auto"/>
        <w:bottom w:val="none" w:sz="0" w:space="0" w:color="auto"/>
        <w:right w:val="none" w:sz="0" w:space="0" w:color="auto"/>
      </w:divBdr>
    </w:div>
    <w:div w:id="893154642">
      <w:bodyDiv w:val="1"/>
      <w:marLeft w:val="0"/>
      <w:marRight w:val="0"/>
      <w:marTop w:val="0"/>
      <w:marBottom w:val="0"/>
      <w:divBdr>
        <w:top w:val="none" w:sz="0" w:space="0" w:color="auto"/>
        <w:left w:val="none" w:sz="0" w:space="0" w:color="auto"/>
        <w:bottom w:val="none" w:sz="0" w:space="0" w:color="auto"/>
        <w:right w:val="none" w:sz="0" w:space="0" w:color="auto"/>
      </w:divBdr>
      <w:divsChild>
        <w:div w:id="279773510">
          <w:marLeft w:val="0"/>
          <w:marRight w:val="0"/>
          <w:marTop w:val="0"/>
          <w:marBottom w:val="0"/>
          <w:divBdr>
            <w:top w:val="none" w:sz="0" w:space="0" w:color="auto"/>
            <w:left w:val="none" w:sz="0" w:space="0" w:color="auto"/>
            <w:bottom w:val="none" w:sz="0" w:space="0" w:color="auto"/>
            <w:right w:val="none" w:sz="0" w:space="0" w:color="auto"/>
          </w:divBdr>
        </w:div>
      </w:divsChild>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33897123">
      <w:bodyDiv w:val="1"/>
      <w:marLeft w:val="0"/>
      <w:marRight w:val="0"/>
      <w:marTop w:val="0"/>
      <w:marBottom w:val="0"/>
      <w:divBdr>
        <w:top w:val="none" w:sz="0" w:space="0" w:color="auto"/>
        <w:left w:val="none" w:sz="0" w:space="0" w:color="auto"/>
        <w:bottom w:val="none" w:sz="0" w:space="0" w:color="auto"/>
        <w:right w:val="none" w:sz="0" w:space="0" w:color="auto"/>
      </w:divBdr>
    </w:div>
    <w:div w:id="946502872">
      <w:bodyDiv w:val="1"/>
      <w:marLeft w:val="0"/>
      <w:marRight w:val="0"/>
      <w:marTop w:val="0"/>
      <w:marBottom w:val="0"/>
      <w:divBdr>
        <w:top w:val="none" w:sz="0" w:space="0" w:color="auto"/>
        <w:left w:val="none" w:sz="0" w:space="0" w:color="auto"/>
        <w:bottom w:val="none" w:sz="0" w:space="0" w:color="auto"/>
        <w:right w:val="none" w:sz="0" w:space="0" w:color="auto"/>
      </w:divBdr>
    </w:div>
    <w:div w:id="955134611">
      <w:bodyDiv w:val="1"/>
      <w:marLeft w:val="0"/>
      <w:marRight w:val="0"/>
      <w:marTop w:val="0"/>
      <w:marBottom w:val="0"/>
      <w:divBdr>
        <w:top w:val="none" w:sz="0" w:space="0" w:color="auto"/>
        <w:left w:val="none" w:sz="0" w:space="0" w:color="auto"/>
        <w:bottom w:val="none" w:sz="0" w:space="0" w:color="auto"/>
        <w:right w:val="none" w:sz="0" w:space="0" w:color="auto"/>
      </w:divBdr>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70230390">
      <w:bodyDiv w:val="1"/>
      <w:marLeft w:val="0"/>
      <w:marRight w:val="0"/>
      <w:marTop w:val="0"/>
      <w:marBottom w:val="0"/>
      <w:divBdr>
        <w:top w:val="none" w:sz="0" w:space="0" w:color="auto"/>
        <w:left w:val="none" w:sz="0" w:space="0" w:color="auto"/>
        <w:bottom w:val="none" w:sz="0" w:space="0" w:color="auto"/>
        <w:right w:val="none" w:sz="0" w:space="0" w:color="auto"/>
      </w:divBdr>
    </w:div>
    <w:div w:id="1140268746">
      <w:bodyDiv w:val="1"/>
      <w:marLeft w:val="0"/>
      <w:marRight w:val="0"/>
      <w:marTop w:val="0"/>
      <w:marBottom w:val="0"/>
      <w:divBdr>
        <w:top w:val="none" w:sz="0" w:space="0" w:color="auto"/>
        <w:left w:val="none" w:sz="0" w:space="0" w:color="auto"/>
        <w:bottom w:val="none" w:sz="0" w:space="0" w:color="auto"/>
        <w:right w:val="none" w:sz="0" w:space="0" w:color="auto"/>
      </w:divBdr>
    </w:div>
    <w:div w:id="1147280345">
      <w:bodyDiv w:val="1"/>
      <w:marLeft w:val="0"/>
      <w:marRight w:val="0"/>
      <w:marTop w:val="0"/>
      <w:marBottom w:val="0"/>
      <w:divBdr>
        <w:top w:val="none" w:sz="0" w:space="0" w:color="auto"/>
        <w:left w:val="none" w:sz="0" w:space="0" w:color="auto"/>
        <w:bottom w:val="none" w:sz="0" w:space="0" w:color="auto"/>
        <w:right w:val="none" w:sz="0" w:space="0" w:color="auto"/>
      </w:divBdr>
    </w:div>
    <w:div w:id="1149595904">
      <w:bodyDiv w:val="1"/>
      <w:marLeft w:val="0"/>
      <w:marRight w:val="0"/>
      <w:marTop w:val="0"/>
      <w:marBottom w:val="0"/>
      <w:divBdr>
        <w:top w:val="none" w:sz="0" w:space="0" w:color="auto"/>
        <w:left w:val="none" w:sz="0" w:space="0" w:color="auto"/>
        <w:bottom w:val="none" w:sz="0" w:space="0" w:color="auto"/>
        <w:right w:val="none" w:sz="0" w:space="0" w:color="auto"/>
      </w:divBdr>
    </w:div>
    <w:div w:id="1178345727">
      <w:bodyDiv w:val="1"/>
      <w:marLeft w:val="0"/>
      <w:marRight w:val="0"/>
      <w:marTop w:val="0"/>
      <w:marBottom w:val="0"/>
      <w:divBdr>
        <w:top w:val="none" w:sz="0" w:space="0" w:color="auto"/>
        <w:left w:val="none" w:sz="0" w:space="0" w:color="auto"/>
        <w:bottom w:val="none" w:sz="0" w:space="0" w:color="auto"/>
        <w:right w:val="none" w:sz="0" w:space="0" w:color="auto"/>
      </w:divBdr>
    </w:div>
    <w:div w:id="1215391083">
      <w:bodyDiv w:val="1"/>
      <w:marLeft w:val="0"/>
      <w:marRight w:val="0"/>
      <w:marTop w:val="0"/>
      <w:marBottom w:val="0"/>
      <w:divBdr>
        <w:top w:val="none" w:sz="0" w:space="0" w:color="auto"/>
        <w:left w:val="none" w:sz="0" w:space="0" w:color="auto"/>
        <w:bottom w:val="none" w:sz="0" w:space="0" w:color="auto"/>
        <w:right w:val="none" w:sz="0" w:space="0" w:color="auto"/>
      </w:divBdr>
      <w:divsChild>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 w:id="1251163844">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371955812">
      <w:bodyDiv w:val="1"/>
      <w:marLeft w:val="0"/>
      <w:marRight w:val="0"/>
      <w:marTop w:val="0"/>
      <w:marBottom w:val="0"/>
      <w:divBdr>
        <w:top w:val="none" w:sz="0" w:space="0" w:color="auto"/>
        <w:left w:val="none" w:sz="0" w:space="0" w:color="auto"/>
        <w:bottom w:val="none" w:sz="0" w:space="0" w:color="auto"/>
        <w:right w:val="none" w:sz="0" w:space="0" w:color="auto"/>
      </w:divBdr>
    </w:div>
    <w:div w:id="1380786989">
      <w:bodyDiv w:val="1"/>
      <w:marLeft w:val="0"/>
      <w:marRight w:val="0"/>
      <w:marTop w:val="0"/>
      <w:marBottom w:val="0"/>
      <w:divBdr>
        <w:top w:val="none" w:sz="0" w:space="0" w:color="auto"/>
        <w:left w:val="none" w:sz="0" w:space="0" w:color="auto"/>
        <w:bottom w:val="none" w:sz="0" w:space="0" w:color="auto"/>
        <w:right w:val="none" w:sz="0" w:space="0" w:color="auto"/>
      </w:divBdr>
    </w:div>
    <w:div w:id="1389652098">
      <w:bodyDiv w:val="1"/>
      <w:marLeft w:val="0"/>
      <w:marRight w:val="0"/>
      <w:marTop w:val="0"/>
      <w:marBottom w:val="0"/>
      <w:divBdr>
        <w:top w:val="none" w:sz="0" w:space="0" w:color="auto"/>
        <w:left w:val="none" w:sz="0" w:space="0" w:color="auto"/>
        <w:bottom w:val="none" w:sz="0" w:space="0" w:color="auto"/>
        <w:right w:val="none" w:sz="0" w:space="0" w:color="auto"/>
      </w:divBdr>
    </w:div>
    <w:div w:id="1397511223">
      <w:bodyDiv w:val="1"/>
      <w:marLeft w:val="0"/>
      <w:marRight w:val="0"/>
      <w:marTop w:val="0"/>
      <w:marBottom w:val="0"/>
      <w:divBdr>
        <w:top w:val="none" w:sz="0" w:space="0" w:color="auto"/>
        <w:left w:val="none" w:sz="0" w:space="0" w:color="auto"/>
        <w:bottom w:val="none" w:sz="0" w:space="0" w:color="auto"/>
        <w:right w:val="none" w:sz="0" w:space="0" w:color="auto"/>
      </w:divBdr>
    </w:div>
    <w:div w:id="1467239451">
      <w:bodyDiv w:val="1"/>
      <w:marLeft w:val="0"/>
      <w:marRight w:val="0"/>
      <w:marTop w:val="0"/>
      <w:marBottom w:val="0"/>
      <w:divBdr>
        <w:top w:val="none" w:sz="0" w:space="0" w:color="auto"/>
        <w:left w:val="none" w:sz="0" w:space="0" w:color="auto"/>
        <w:bottom w:val="none" w:sz="0" w:space="0" w:color="auto"/>
        <w:right w:val="none" w:sz="0" w:space="0" w:color="auto"/>
      </w:divBdr>
    </w:div>
    <w:div w:id="1478300026">
      <w:bodyDiv w:val="1"/>
      <w:marLeft w:val="0"/>
      <w:marRight w:val="0"/>
      <w:marTop w:val="0"/>
      <w:marBottom w:val="0"/>
      <w:divBdr>
        <w:top w:val="none" w:sz="0" w:space="0" w:color="auto"/>
        <w:left w:val="none" w:sz="0" w:space="0" w:color="auto"/>
        <w:bottom w:val="none" w:sz="0" w:space="0" w:color="auto"/>
        <w:right w:val="none" w:sz="0" w:space="0" w:color="auto"/>
      </w:divBdr>
    </w:div>
    <w:div w:id="1481313190">
      <w:bodyDiv w:val="1"/>
      <w:marLeft w:val="0"/>
      <w:marRight w:val="0"/>
      <w:marTop w:val="0"/>
      <w:marBottom w:val="0"/>
      <w:divBdr>
        <w:top w:val="none" w:sz="0" w:space="0" w:color="auto"/>
        <w:left w:val="none" w:sz="0" w:space="0" w:color="auto"/>
        <w:bottom w:val="none" w:sz="0" w:space="0" w:color="auto"/>
        <w:right w:val="none" w:sz="0" w:space="0" w:color="auto"/>
      </w:divBdr>
    </w:div>
    <w:div w:id="1543782988">
      <w:bodyDiv w:val="1"/>
      <w:marLeft w:val="0"/>
      <w:marRight w:val="0"/>
      <w:marTop w:val="0"/>
      <w:marBottom w:val="0"/>
      <w:divBdr>
        <w:top w:val="none" w:sz="0" w:space="0" w:color="auto"/>
        <w:left w:val="none" w:sz="0" w:space="0" w:color="auto"/>
        <w:bottom w:val="none" w:sz="0" w:space="0" w:color="auto"/>
        <w:right w:val="none" w:sz="0" w:space="0" w:color="auto"/>
      </w:divBdr>
    </w:div>
    <w:div w:id="1691177915">
      <w:bodyDiv w:val="1"/>
      <w:marLeft w:val="0"/>
      <w:marRight w:val="0"/>
      <w:marTop w:val="0"/>
      <w:marBottom w:val="0"/>
      <w:divBdr>
        <w:top w:val="none" w:sz="0" w:space="0" w:color="auto"/>
        <w:left w:val="none" w:sz="0" w:space="0" w:color="auto"/>
        <w:bottom w:val="none" w:sz="0" w:space="0" w:color="auto"/>
        <w:right w:val="none" w:sz="0" w:space="0" w:color="auto"/>
      </w:divBdr>
    </w:div>
    <w:div w:id="1748652177">
      <w:bodyDiv w:val="1"/>
      <w:marLeft w:val="0"/>
      <w:marRight w:val="0"/>
      <w:marTop w:val="0"/>
      <w:marBottom w:val="0"/>
      <w:divBdr>
        <w:top w:val="none" w:sz="0" w:space="0" w:color="auto"/>
        <w:left w:val="none" w:sz="0" w:space="0" w:color="auto"/>
        <w:bottom w:val="none" w:sz="0" w:space="0" w:color="auto"/>
        <w:right w:val="none" w:sz="0" w:space="0" w:color="auto"/>
      </w:divBdr>
    </w:div>
    <w:div w:id="1787697856">
      <w:bodyDiv w:val="1"/>
      <w:marLeft w:val="0"/>
      <w:marRight w:val="0"/>
      <w:marTop w:val="0"/>
      <w:marBottom w:val="0"/>
      <w:divBdr>
        <w:top w:val="none" w:sz="0" w:space="0" w:color="auto"/>
        <w:left w:val="none" w:sz="0" w:space="0" w:color="auto"/>
        <w:bottom w:val="none" w:sz="0" w:space="0" w:color="auto"/>
        <w:right w:val="none" w:sz="0" w:space="0" w:color="auto"/>
      </w:divBdr>
    </w:div>
    <w:div w:id="1793473254">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 w:id="2002998987">
      <w:bodyDiv w:val="1"/>
      <w:marLeft w:val="0"/>
      <w:marRight w:val="0"/>
      <w:marTop w:val="0"/>
      <w:marBottom w:val="0"/>
      <w:divBdr>
        <w:top w:val="none" w:sz="0" w:space="0" w:color="auto"/>
        <w:left w:val="none" w:sz="0" w:space="0" w:color="auto"/>
        <w:bottom w:val="none" w:sz="0" w:space="0" w:color="auto"/>
        <w:right w:val="none" w:sz="0" w:space="0" w:color="auto"/>
      </w:divBdr>
    </w:div>
    <w:div w:id="2057270200">
      <w:bodyDiv w:val="1"/>
      <w:marLeft w:val="0"/>
      <w:marRight w:val="0"/>
      <w:marTop w:val="0"/>
      <w:marBottom w:val="0"/>
      <w:divBdr>
        <w:top w:val="none" w:sz="0" w:space="0" w:color="auto"/>
        <w:left w:val="none" w:sz="0" w:space="0" w:color="auto"/>
        <w:bottom w:val="none" w:sz="0" w:space="0" w:color="auto"/>
        <w:right w:val="none" w:sz="0" w:space="0" w:color="auto"/>
      </w:divBdr>
    </w:div>
    <w:div w:id="20982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fcbcc0d7da2afc7dfd1f8eb0d8167e9f">
  <xsd:schema xmlns:xsd="http://www.w3.org/2001/XMLSchema" xmlns:xs="http://www.w3.org/2001/XMLSchema" xmlns:p="http://schemas.microsoft.com/office/2006/metadata/properties" xmlns:ns2="c901dcab-5c60-4e8e-adc9-0c7b361f0e15" targetNamespace="http://schemas.microsoft.com/office/2006/metadata/properties" ma:root="true" ma:fieldsID="389c65f3a199d6c2ceef1705ce39bdd1" ns2:_="">
    <xsd:import namespace="c901dcab-5c60-4e8e-adc9-0c7b361f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C370-B4C4-4077-A8D7-1D49DA33B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F5E84-47A9-4C74-9832-7DADC55C9F29}">
  <ds:schemaRefs>
    <ds:schemaRef ds:uri="http://schemas.microsoft.com/sharepoint/v3/contenttype/forms"/>
  </ds:schemaRefs>
</ds:datastoreItem>
</file>

<file path=customXml/itemProps3.xml><?xml version="1.0" encoding="utf-8"?>
<ds:datastoreItem xmlns:ds="http://schemas.openxmlformats.org/officeDocument/2006/customXml" ds:itemID="{05B1758E-458E-400C-A4E9-7E535E591B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350226-7018-45CE-908A-7771ECFD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2406ACBE.dotm</Template>
  <TotalTime>4</TotalTime>
  <Pages>5</Pages>
  <Words>1836</Words>
  <Characters>10834</Characters>
  <Application>Microsoft Office Word</Application>
  <DocSecurity>0</DocSecurity>
  <Lines>90</Lines>
  <Paragraphs>25</Paragraphs>
  <ScaleCrop>false</ScaleCrop>
  <Company>Ministerstvo průmyslu a obchodu</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Pápai Adam</dc:creator>
  <cp:keywords/>
  <dc:description/>
  <cp:lastModifiedBy>Hronza Martin</cp:lastModifiedBy>
  <cp:revision>9</cp:revision>
  <dcterms:created xsi:type="dcterms:W3CDTF">2020-12-04T10:32:00Z</dcterms:created>
  <dcterms:modified xsi:type="dcterms:W3CDTF">2021-01-28T12:17:00Z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