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keepLines w:val="0"/>
        <w:spacing w:before="0" w:after="0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III.</w:t>
      </w:r>
    </w:p>
    <w:p>
      <w:pPr>
        <w:pStyle w:val="Textparagrafu"/>
        <w:spacing w:before="0" w:after="120" w:line="276" w:lineRule="auto"/>
        <w:ind w:firstLine="0"/>
        <w:jc w:val="center"/>
        <w:rPr>
          <w:b/>
          <w:szCs w:val="24"/>
          <w:u w:val="single"/>
        </w:rPr>
      </w:pPr>
    </w:p>
    <w:p>
      <w:pPr>
        <w:pStyle w:val="Textparagrafu"/>
        <w:spacing w:before="0" w:after="120" w:line="276" w:lineRule="auto"/>
        <w:ind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Odůvodnění</w:t>
      </w:r>
    </w:p>
    <w:p>
      <w:pPr>
        <w:pStyle w:val="Textparagrafu"/>
        <w:spacing w:before="0" w:after="120" w:line="276" w:lineRule="auto"/>
        <w:ind w:firstLine="0"/>
        <w:jc w:val="center"/>
        <w:rPr>
          <w:b/>
          <w:szCs w:val="24"/>
          <w:u w:val="single"/>
        </w:rPr>
      </w:pPr>
    </w:p>
    <w:p>
      <w:pPr>
        <w:pStyle w:val="Textparagrafu"/>
        <w:spacing w:before="0" w:after="120" w:line="276" w:lineRule="auto"/>
        <w:ind w:left="426" w:hanging="360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>A. OBECNÁ ČÁST</w:t>
      </w:r>
    </w:p>
    <w:p>
      <w:pPr>
        <w:keepLines w:val="0"/>
        <w:numPr>
          <w:ilvl w:val="0"/>
          <w:numId w:val="3"/>
        </w:numPr>
        <w:spacing w:before="0" w:line="276" w:lineRule="auto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Vysvětlení nezbytnosti navrhované právní úpravy, odůvodnění jejích hlavních principů</w:t>
      </w:r>
    </w:p>
    <w:p>
      <w:pPr>
        <w:spacing w:line="276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Návrh vyhlášky, kterou se mění vyhláška č. 360/2010 Sb., kterou se stanoví vzor elektronického formuláře návrhu na rozhodnutí sporu o povinnosti k peněžitému plnění a technické náležitosti jeho užívání, ve znění vyhlášky č. 180/2017 Sb. (dále jen „návrh vyhlášky“), je předkládán v souvislosti s naplňováním zákona č. 12/2020 Sb., o právu na digitální služby a o změně některých zákonů, ve znění pozdějších předpisů, který mimo jiné  stanoví, že existuje-li úkon, který není obsažen v katalogu služeb a jehož povaha to nevylučuje, příslušný orgán veřejné moci jej po uplynutí 5 let od účinnosti tohoto zákona poskytuje též jako digitální službu nebo jej umožňuje provádět též jako digitální úkon, nestanoví-li jiný zákon jinak (§ 14 odst. 5). </w:t>
      </w:r>
    </w:p>
    <w:p>
      <w:pPr>
        <w:spacing w:line="276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Nejpozději s účinností od  1. února 2025 (zákon č. 12/2020 Sb. nabyl účinnosti dne 1. února 2020) je tedy potřeba upravit i elektronický formulář sloužící k podání návrhu na rozhodnutí sporu o povinnosti k peněžitému plnění podle § 129 odst. 2 zákona o elektronických komunikacích a o změně některých souvisejících zákonů (zákon o elektronických komunikacích) a technické náležitosti jeho užívání tak, aby v souvislosti s probíhající digitalizací orgánů veřejné moci a implementací informačních systémů veřejné správy (tzv. samoobslužný portál) tento elektronický formulář odpovídal požadavkům zákona č. 12/2020 Sb., a tudíž je nutné upravit vyhlášku č. 360/2010 Sb. tak, aby jí stanovený vzor elektronického formuláře návrhu na rozhodnutí sporu o povinnosti k peněžitému plnění a stanovené technické náležitosti jeho užívání reflektovaly uvedené zákonné požadavky. </w:t>
      </w:r>
    </w:p>
    <w:p>
      <w:pPr>
        <w:keepLines w:val="0"/>
        <w:numPr>
          <w:ilvl w:val="0"/>
          <w:numId w:val="3"/>
        </w:numPr>
        <w:spacing w:before="0" w:line="276" w:lineRule="auto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Zhodnocení souladu navrhované právní úpravy se zákonem, k jehož provedení je navržena, včetně souladu se zákonným zmocněním k jejímu vydání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Předkládaná právní úprava je v souladu se zákonem č. 127/2005 Sb., o elektronických komunikacích a o změně některých souvisejících zákonů (zákon o elektronických komunikacích), ve znění pozdějších předpisů, a je rovněž v souladu s rozsahem zákonného zmocnění obsaženého v § 129 odst. 2 zákona o elektronických komunikacích.</w:t>
      </w:r>
    </w:p>
    <w:p>
      <w:pPr>
        <w:keepLines w:val="0"/>
        <w:numPr>
          <w:ilvl w:val="0"/>
          <w:numId w:val="3"/>
        </w:numPr>
        <w:spacing w:before="0" w:line="276" w:lineRule="auto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Zhodnocení souladu navrhované právní úpravy s předpisy Evropské unie, judikaturou soudních orgánů Evropské unie a obecnými právními zásadami práva Evropské unie 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Návrh vyhlášky nezapracovává právo Evropské unie a není s právem Evropské unie ani s obecnými právními zásadami Evropské unie v rozporu.</w:t>
      </w:r>
    </w:p>
    <w:p>
      <w:pPr>
        <w:keepLines w:val="0"/>
        <w:numPr>
          <w:ilvl w:val="0"/>
          <w:numId w:val="3"/>
        </w:numPr>
        <w:spacing w:before="0" w:line="276" w:lineRule="auto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Zhodnocení platného právního stavu a odůvodnění nezbytnosti jeho změny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Navrhovaná právní úprava reaguje na nevyhovující platný právní stav, kdy je stávající elektronický formulář sloužící k podání návrhu na rozhodnutí sporu o povinnosti k peněžitému plnění podle § 129 odst. 2 zákona o elektronických komunikacích je podle § 2 odst. 1 vyhlášky č. 360/2010 Sb. v platném znění limitován formátem </w:t>
      </w:r>
      <w:proofErr w:type="spellStart"/>
      <w:r>
        <w:rPr>
          <w:rFonts w:ascii="Times New Roman" w:hAnsi="Times New Roman"/>
          <w:sz w:val="24"/>
        </w:rPr>
        <w:t>fo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zfo</w:t>
      </w:r>
      <w:proofErr w:type="spellEnd"/>
      <w:r>
        <w:rPr>
          <w:rFonts w:ascii="Times New Roman" w:hAnsi="Times New Roman"/>
          <w:sz w:val="24"/>
        </w:rPr>
        <w:t xml:space="preserve"> (602XML </w:t>
      </w:r>
      <w:proofErr w:type="spellStart"/>
      <w:r>
        <w:rPr>
          <w:rFonts w:ascii="Times New Roman" w:hAnsi="Times New Roman"/>
          <w:sz w:val="24"/>
        </w:rPr>
        <w:t>Filter</w:t>
      </w:r>
      <w:proofErr w:type="spellEnd"/>
      <w:r>
        <w:rPr>
          <w:rFonts w:ascii="Times New Roman" w:hAnsi="Times New Roman"/>
          <w:sz w:val="24"/>
        </w:rPr>
        <w:t xml:space="preserve"> dokument). Taková limitace neodpovídá požadavkům kladeným na digitální úkon zákonem č. 12/2020 Sb., o právu na digitální služby a o změně některých zákonů,  ve znění pozdějších předpisů, který zároveň stanovuje v § 4 odst. 1 písm. c) právo učinit digitální úkon vůči orgánu veřejné moci prostřednictvím informačního systému veřejné správy umožňujícího prokázání totožnosti uživatele služby s využitím elektronické identifikace, autorizaci digitálního úkonu uživatelem služby a zpětné prokázání projevu vůle uživatele služby učinit digitální úkon, tj. zjednodušeně prostřednictvím tzv. samoobslužného portálu, který je Českým telekomunikačním úřadem (dále jen „ČTÚ“) v rámci plnění povinnosti podle § 14 odst. 5 zákona č. 12/2020 Sb. vytvářen. Obdobně je potřeba osobám, které činí podání návrhu na rozhodnutí sporu o povinnosti k peněžitému plnění podle § 129 odst. 2 zákona o elektronických komunikacích (osoby vykonávající komunikační činnost ve smyslu § 7 zákona o elektronických komunikacích), umožnit připojit k návrhu podání přílohy ve více formátech, nikoli výlučně pouze ve formátu </w:t>
      </w:r>
      <w:proofErr w:type="spellStart"/>
      <w:r>
        <w:rPr>
          <w:rFonts w:ascii="Times New Roman" w:hAnsi="Times New Roman"/>
          <w:sz w:val="24"/>
        </w:rPr>
        <w:t>pdf</w:t>
      </w:r>
      <w:proofErr w:type="spellEnd"/>
      <w:r>
        <w:rPr>
          <w:rFonts w:ascii="Times New Roman" w:hAnsi="Times New Roman"/>
          <w:sz w:val="24"/>
        </w:rPr>
        <w:t xml:space="preserve"> (Portable </w:t>
      </w:r>
      <w:proofErr w:type="spellStart"/>
      <w:r>
        <w:rPr>
          <w:rFonts w:ascii="Times New Roman" w:hAnsi="Times New Roman"/>
          <w:sz w:val="24"/>
        </w:rPr>
        <w:t>Document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Format</w:t>
      </w:r>
      <w:proofErr w:type="spellEnd"/>
      <w:r>
        <w:rPr>
          <w:rFonts w:ascii="Times New Roman" w:hAnsi="Times New Roman"/>
          <w:sz w:val="24"/>
        </w:rPr>
        <w:t xml:space="preserve">), jak stanoví v současné době platná vyhláška.   </w:t>
      </w:r>
    </w:p>
    <w:p>
      <w:pPr>
        <w:keepLines w:val="0"/>
        <w:numPr>
          <w:ilvl w:val="0"/>
          <w:numId w:val="3"/>
        </w:numPr>
        <w:spacing w:before="0" w:line="276" w:lineRule="auto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Předpokládaný hospodářský a finanční dopad navrhované právní úpravy na státní rozpočet, ostatní veřejné rozpočty, na podnikatelské prostředí České republiky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souvislosti s navrhovanou právní úpravou se nepředpokládají žádné hospodářské a finanční dopady na státní rozpočet a ostatní veřejné rozpočty, </w:t>
      </w:r>
      <w:r>
        <w:t xml:space="preserve"> </w:t>
      </w:r>
      <w:r>
        <w:rPr>
          <w:rFonts w:ascii="Times New Roman" w:hAnsi="Times New Roman"/>
          <w:sz w:val="24"/>
        </w:rPr>
        <w:t xml:space="preserve">a to vzhledem k tomu, že na jejím základě dochází pouze ke změně parametrů příslušného formuláře, resp. podání obsahujícího předmětný formulář a jeho přílohy, který slouží k zahájení sporu podle § 129 zákona o elektronických komunikacích osobou vykonávající komunikační činnost.  Stejně tak návrh vyhlášky nepřináší žádné hospodářské ani finanční dopady na podnikatelské prostředí. </w:t>
      </w:r>
    </w:p>
    <w:p>
      <w:pPr>
        <w:keepLines w:val="0"/>
        <w:numPr>
          <w:ilvl w:val="0"/>
          <w:numId w:val="3"/>
        </w:numPr>
        <w:spacing w:before="0" w:line="276" w:lineRule="auto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Zhodnocení sociálních dopadů, včetně dopadů na specifické skupiny obyvatel, zejména osoby sociálně slabé, osoby se zdravotním postižením a národnostní menšiny, dopadů na ochranu práv dětí a dopadů na životní prostředí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Návrh nepředpokládá žádné sociální dopady ani dopady na životní prostředí. Nepředpokládají se žádné dopady na osoby sociálně slabé, národnostní menšiny ani do oblasti ochrany práv dětí. </w:t>
      </w:r>
    </w:p>
    <w:p>
      <w:pPr>
        <w:keepNext/>
        <w:keepLines w:val="0"/>
        <w:numPr>
          <w:ilvl w:val="0"/>
          <w:numId w:val="3"/>
        </w:numPr>
        <w:spacing w:before="0" w:line="276" w:lineRule="auto"/>
        <w:ind w:left="425" w:hanging="35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Zhodnocení současného stavu a dopadů navrhovaného řešení ve vztahu k zákazu diskriminace a ve vztahu k rovnosti mužů a žen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Návrh vyhlášky nemá jakékoliv dopady ve vztahu k zákazu diskriminace a ve vztahu k rovnosti mužů a žen. Tato právní úprava se vztahuje shodně na muže a ženy, je genderově neutrální.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5"/>
        <w:rPr>
          <w:rFonts w:ascii="Times New Roman" w:hAnsi="Times New Roman"/>
          <w:sz w:val="24"/>
        </w:rPr>
      </w:pPr>
    </w:p>
    <w:p>
      <w:pPr>
        <w:keepLines w:val="0"/>
        <w:numPr>
          <w:ilvl w:val="0"/>
          <w:numId w:val="3"/>
        </w:numPr>
        <w:spacing w:before="0" w:line="276" w:lineRule="auto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Zhodnocení dopadů navrhovaného řešení ve vztahu k ochraně soukromí a osobních údajů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Návrh právní úpravy se netýká soukromí</w:t>
      </w:r>
      <w:r>
        <w:rPr>
          <w:rFonts w:ascii="Times New Roman" w:hAnsi="Times New Roman"/>
          <w:sz w:val="24"/>
        </w:rPr>
        <w:t xml:space="preserve">. Návrh vyhlášky stanoví v souladu se zákonným zmocněním obsaženým v § 129 odst. 2 zákona o elektronických komunikacích nový jednotný vzor formulářů a technické náležitosti jejich užívání. Návrh vyhlášky se vůbec netýká zpracování osobních údajů, ke kterému na základě podání návrhu na rozhodnutí sporu o povinnosti k peněžitému plnění podle § 129 odst. 2 zákona o elektronických komunikacích dochází. </w:t>
      </w:r>
    </w:p>
    <w:p>
      <w:pPr>
        <w:keepLines w:val="0"/>
        <w:numPr>
          <w:ilvl w:val="0"/>
          <w:numId w:val="3"/>
        </w:numPr>
        <w:spacing w:before="0" w:line="276" w:lineRule="auto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Zhodnocení korupčních rizik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5"/>
        <w:rPr>
          <w:rFonts w:ascii="Times New Roman" w:hAnsi="Times New Roman"/>
          <w:sz w:val="24"/>
        </w:rPr>
      </w:pPr>
      <w:bookmarkStart w:id="0" w:name="_Hlk167280309"/>
      <w:r>
        <w:rPr>
          <w:rFonts w:ascii="Times New Roman" w:hAnsi="Times New Roman"/>
          <w:sz w:val="24"/>
        </w:rPr>
        <w:t>Návrh vyhlášky nemá v dané oblasti žádné dopady ani rizika.</w:t>
      </w:r>
    </w:p>
    <w:bookmarkEnd w:id="0"/>
    <w:p>
      <w:pPr>
        <w:keepLines w:val="0"/>
        <w:numPr>
          <w:ilvl w:val="0"/>
          <w:numId w:val="3"/>
        </w:numPr>
        <w:spacing w:before="0" w:line="276" w:lineRule="auto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Zhodnocení dopadů na bezpečnost nebo obranu státu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Návrh vyhlášky nemá v dané oblasti žádné dopady ani rizika.</w:t>
      </w:r>
    </w:p>
    <w:p>
      <w:pPr>
        <w:keepLines w:val="0"/>
        <w:numPr>
          <w:ilvl w:val="0"/>
          <w:numId w:val="3"/>
        </w:numPr>
        <w:spacing w:before="0" w:line="276" w:lineRule="auto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Zhodnocení územních dopadů, včetně dopadů na územní samosprávné celky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Návrh vyhlášky nemá v dané oblasti žádné dopady ani rizika.</w:t>
      </w:r>
    </w:p>
    <w:p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Zhodnocení souladu navrhovaného řešení se zásadami tvorby digitálně přívětivé legislativy, včetně zhodnocení rizika vyloučení nebo omezení možnosti přístupu specifických skupin osob k některým službám v důsledku digitalizace jejich poskytování (digitální vyloučení)</w:t>
      </w:r>
    </w:p>
    <w:p>
      <w:pPr>
        <w:keepLines w:val="0"/>
        <w:autoSpaceDE w:val="0"/>
        <w:autoSpaceDN w:val="0"/>
        <w:adjustRightInd w:val="0"/>
        <w:spacing w:before="0" w:after="360" w:line="276" w:lineRule="auto"/>
        <w:ind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Navrhovaná právní úprava byla vyhodnocena vzhledem k následujícím zásadám.</w:t>
      </w:r>
    </w:p>
    <w:p>
      <w:pPr>
        <w:keepNext/>
        <w:keepLines w:val="0"/>
        <w:numPr>
          <w:ilvl w:val="1"/>
          <w:numId w:val="4"/>
        </w:numPr>
        <w:spacing w:before="240"/>
        <w:ind w:left="709" w:hanging="35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Budování přednostně digitálních služeb (princip </w:t>
      </w:r>
      <w:proofErr w:type="spellStart"/>
      <w:r>
        <w:rPr>
          <w:rFonts w:ascii="Times New Roman" w:hAnsi="Times New Roman"/>
          <w:sz w:val="24"/>
          <w:u w:val="single"/>
        </w:rPr>
        <w:t>digital</w:t>
      </w:r>
      <w:proofErr w:type="spellEnd"/>
      <w:r>
        <w:rPr>
          <w:rFonts w:ascii="Times New Roman" w:hAnsi="Times New Roman"/>
          <w:sz w:val="24"/>
          <w:u w:val="single"/>
        </w:rPr>
        <w:t xml:space="preserve"> by default)</w:t>
      </w:r>
      <w:r>
        <w:rPr>
          <w:rFonts w:ascii="Times New Roman" w:hAnsi="Times New Roman"/>
          <w:sz w:val="24"/>
        </w:rPr>
        <w:t xml:space="preserve"> </w:t>
      </w:r>
    </w:p>
    <w:p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Návrh vyhlášky je plně v souladu s uvedenou zásadou, když jsou odstraňovány dosavadní omezení formátu formuláře pro podání návrhu na rozhodnutí sporu o povinnosti k peněžitému plnění podle § 129 odst. 2 zákona o elektronických komunikacích a jeho příloh v souvislosti se zavedením tzv. samoobslužného portálu splňujícího požadavky § 4 odst. 1 písm. c) zákona č. 12/2020 Sb. </w:t>
      </w:r>
    </w:p>
    <w:p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Zásada byla při přípravě právního přepisu dodržena.</w:t>
      </w:r>
    </w:p>
    <w:p>
      <w:pPr>
        <w:keepNext/>
        <w:keepLines w:val="0"/>
        <w:numPr>
          <w:ilvl w:val="1"/>
          <w:numId w:val="4"/>
        </w:numPr>
        <w:spacing w:before="240"/>
        <w:ind w:left="709" w:hanging="357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Maximální opakovatelnost a </w:t>
      </w:r>
      <w:proofErr w:type="spellStart"/>
      <w:r>
        <w:rPr>
          <w:rFonts w:ascii="Times New Roman" w:hAnsi="Times New Roman"/>
          <w:sz w:val="24"/>
          <w:u w:val="single"/>
        </w:rPr>
        <w:t>znovupoužitelnost</w:t>
      </w:r>
      <w:proofErr w:type="spellEnd"/>
      <w:r>
        <w:rPr>
          <w:rFonts w:ascii="Times New Roman" w:hAnsi="Times New Roman"/>
          <w:sz w:val="24"/>
          <w:u w:val="single"/>
        </w:rPr>
        <w:t xml:space="preserve"> údajů a služeb</w:t>
      </w:r>
    </w:p>
    <w:p>
      <w:pPr>
        <w:keepLines w:val="0"/>
        <w:ind w:firstLine="7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Zásada byla při přípravě právního přepisu dodržena, resp. není návrhem popřena. </w:t>
      </w:r>
    </w:p>
    <w:p>
      <w:pPr>
        <w:keepNext/>
        <w:keepLines w:val="0"/>
        <w:numPr>
          <w:ilvl w:val="1"/>
          <w:numId w:val="4"/>
        </w:numPr>
        <w:spacing w:before="240"/>
        <w:ind w:left="709" w:hanging="357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 xml:space="preserve">Budování služeb přístupných a použitelných pro všechny, včetně osob se zdravotním postižením (princip </w:t>
      </w:r>
      <w:proofErr w:type="spellStart"/>
      <w:r>
        <w:rPr>
          <w:rFonts w:ascii="Times New Roman" w:hAnsi="Times New Roman"/>
          <w:sz w:val="24"/>
          <w:u w:val="single"/>
        </w:rPr>
        <w:t>governance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u w:val="single"/>
        </w:rPr>
        <w:t>accessibility</w:t>
      </w:r>
      <w:proofErr w:type="spellEnd"/>
      <w:r>
        <w:rPr>
          <w:rFonts w:ascii="Times New Roman" w:hAnsi="Times New Roman"/>
          <w:sz w:val="24"/>
          <w:u w:val="single"/>
        </w:rPr>
        <w:t>)</w:t>
      </w:r>
    </w:p>
    <w:p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ČTÚ spravovanou internetovou stránku, kde bude dostupný i tzv. samoobslužný portál, se vztahují pravidla pro zajištění přístupnosti pro osoby se zdravotním postižením podle zákona č. 99/2019 Sb., o přístupnosti internetových stránek a mobilních aplikací a o změně zákona č. 365/2000 Sb., o informačních systémech veřejné správy a o změně některých dalších zákonů, ve znění pozdějších předpisů.</w:t>
      </w:r>
    </w:p>
    <w:p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Zásada byla při přípravě právního předpisu dodržena, resp. není návrhem popřena.  </w:t>
      </w:r>
    </w:p>
    <w:p>
      <w:pPr>
        <w:keepNext/>
        <w:keepLines w:val="0"/>
        <w:numPr>
          <w:ilvl w:val="1"/>
          <w:numId w:val="4"/>
        </w:numPr>
        <w:spacing w:before="240"/>
        <w:ind w:left="709" w:hanging="357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Sdílené služby veřejné správy</w:t>
      </w:r>
    </w:p>
    <w:p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Zásada není navrhovanou právní úpravou dotčena, návrh tuto oblast neupravuje.</w:t>
      </w:r>
    </w:p>
    <w:p>
      <w:pPr>
        <w:keepNext/>
        <w:keepLines w:val="0"/>
        <w:numPr>
          <w:ilvl w:val="1"/>
          <w:numId w:val="4"/>
        </w:numPr>
        <w:spacing w:before="240"/>
        <w:ind w:left="709" w:hanging="357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Konsolidace a propojování informačních systémů veřejné správy</w:t>
      </w:r>
    </w:p>
    <w:p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Zásada není navrhovanou právní úpravou dotčena, návrh tuto oblast neupravuje.</w:t>
      </w:r>
    </w:p>
    <w:p>
      <w:pPr>
        <w:keepNext/>
        <w:keepLines w:val="0"/>
        <w:numPr>
          <w:ilvl w:val="1"/>
          <w:numId w:val="4"/>
        </w:numPr>
        <w:spacing w:before="240"/>
        <w:ind w:left="709" w:hanging="357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Mezinárodní interoperabilita – budování služeb propojitelných a využitelných v evropském prostoru</w:t>
      </w:r>
    </w:p>
    <w:p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Zásada není navrhovanou právní úpravou dotčena, návrh tuto oblast neupravuje.</w:t>
      </w:r>
    </w:p>
    <w:p>
      <w:pPr>
        <w:keepNext/>
        <w:keepLines w:val="0"/>
        <w:numPr>
          <w:ilvl w:val="1"/>
          <w:numId w:val="4"/>
        </w:numPr>
        <w:spacing w:before="240"/>
        <w:ind w:left="709" w:hanging="357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Ochrana osobních údajů v míře umožňující kvalitní služby (princip GDPR)</w:t>
      </w:r>
    </w:p>
    <w:p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Zásada není navrhovanou právní úpravou dotčena, návrh tuto oblast neupravuje.</w:t>
      </w:r>
    </w:p>
    <w:p>
      <w:pPr>
        <w:keepNext/>
        <w:keepLines w:val="0"/>
        <w:numPr>
          <w:ilvl w:val="1"/>
          <w:numId w:val="4"/>
        </w:numPr>
        <w:spacing w:before="240"/>
        <w:ind w:left="709" w:hanging="357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Otevřenost a transparentnost včetně otevřených dat a služeb (princip open </w:t>
      </w:r>
      <w:proofErr w:type="spellStart"/>
      <w:r>
        <w:rPr>
          <w:rFonts w:ascii="Times New Roman" w:hAnsi="Times New Roman"/>
          <w:sz w:val="24"/>
          <w:u w:val="single"/>
        </w:rPr>
        <w:t>government</w:t>
      </w:r>
      <w:proofErr w:type="spellEnd"/>
      <w:r>
        <w:rPr>
          <w:rFonts w:ascii="Times New Roman" w:hAnsi="Times New Roman"/>
          <w:sz w:val="24"/>
          <w:u w:val="single"/>
        </w:rPr>
        <w:t>)</w:t>
      </w:r>
    </w:p>
    <w:p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Zásada není navrhovanou právní úpravou dotčena, návrh tuto oblast neupravuje.</w:t>
      </w:r>
    </w:p>
    <w:p>
      <w:pPr>
        <w:keepNext/>
        <w:keepLines w:val="0"/>
        <w:numPr>
          <w:ilvl w:val="1"/>
          <w:numId w:val="4"/>
        </w:numPr>
        <w:spacing w:before="240"/>
        <w:ind w:left="709" w:hanging="357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Technologická neutralita</w:t>
      </w:r>
    </w:p>
    <w:p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Navrhované řešení je technologicky neutrální.</w:t>
      </w:r>
    </w:p>
    <w:p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Zásada byla při přípravě právního přepisu dodržena.  </w:t>
      </w:r>
    </w:p>
    <w:p>
      <w:pPr>
        <w:keepNext/>
        <w:keepLines w:val="0"/>
        <w:numPr>
          <w:ilvl w:val="1"/>
          <w:numId w:val="4"/>
        </w:numPr>
        <w:spacing w:before="240"/>
        <w:ind w:left="709" w:hanging="357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Uživatelská přívětivost</w:t>
      </w:r>
    </w:p>
    <w:p>
      <w:pPr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Zásada byla při přípravě právního přepisu dodržena.  Na základě navržené právní úpravy se zvyšuje uživatelská přívětivost, a to jak z hlediska možnosti vyplnění podání, které bude možné učinit i prostřednictvím tzv. samoobslužného portálu a rovněž z hlediska rozsahu možných formátů příloh, které se oproti současnému stavu značně rozšiřují.</w:t>
      </w:r>
    </w:p>
    <w:p>
      <w:pPr>
        <w:ind w:firstLine="709"/>
        <w:rPr>
          <w:rFonts w:ascii="Times New Roman" w:hAnsi="Times New Roman"/>
          <w:sz w:val="24"/>
        </w:rPr>
      </w:pPr>
    </w:p>
    <w:p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bCs/>
          <w:sz w:val="24"/>
        </w:rPr>
      </w:pPr>
      <w:bookmarkStart w:id="1" w:name="_Hlk147230811"/>
      <w:r>
        <w:rPr>
          <w:rFonts w:ascii="Times New Roman" w:hAnsi="Times New Roman"/>
          <w:b/>
          <w:bCs/>
          <w:sz w:val="24"/>
        </w:rPr>
        <w:t>Odůvodnění neprovedení Závěrečné zprávy z hodnocení dopadů regulace (RIA)</w:t>
      </w:r>
      <w:bookmarkEnd w:id="1"/>
    </w:p>
    <w:p>
      <w:pPr>
        <w:pStyle w:val="Odstavecseseznamem"/>
        <w:ind w:left="360"/>
        <w:rPr>
          <w:rFonts w:ascii="Times New Roman" w:hAnsi="Times New Roman"/>
          <w:b/>
          <w:bCs/>
          <w:sz w:val="24"/>
        </w:rPr>
      </w:pPr>
    </w:p>
    <w:p>
      <w:pPr>
        <w:spacing w:line="276" w:lineRule="auto"/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Závěrečná zpráva z hodnocení dopadů regulace (RIA) nebyla vypracována na základě výjimky udělené předsedou Legislativní rady vlády dopisem ze dne 2. září 2024, čj. 51761</w:t>
      </w:r>
      <w:r>
        <w:rPr>
          <w:rFonts w:ascii="Times New Roman" w:hAnsi="Times New Roman"/>
          <w:sz w:val="24"/>
        </w:rPr>
        <w:noBreakHyphen/>
        <w:t>2024-UVCR.</w:t>
      </w:r>
    </w:p>
    <w:p>
      <w:pPr>
        <w:keepLines w:val="0"/>
        <w:spacing w:before="0" w:after="160" w:line="259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>
      <w:pPr>
        <w:keepNext/>
        <w:keepLines w:val="0"/>
        <w:autoSpaceDE w:val="0"/>
        <w:autoSpaceDN w:val="0"/>
        <w:adjustRightInd w:val="0"/>
        <w:spacing w:before="0" w:line="276" w:lineRule="auto"/>
        <w:rPr>
          <w:rFonts w:ascii="Times New Roman" w:eastAsia="Calibri" w:hAnsi="Times New Roman"/>
          <w:b/>
          <w:bCs/>
          <w:sz w:val="24"/>
        </w:rPr>
      </w:pPr>
      <w:r>
        <w:rPr>
          <w:rFonts w:ascii="Times New Roman" w:eastAsia="Calibri" w:hAnsi="Times New Roman"/>
          <w:b/>
          <w:bCs/>
          <w:sz w:val="24"/>
        </w:rPr>
        <w:lastRenderedPageBreak/>
        <w:t>B. ZVLÁŠTNÍ ČÁST</w:t>
      </w:r>
    </w:p>
    <w:p>
      <w:pPr>
        <w:keepNext/>
        <w:keepLines w:val="0"/>
        <w:spacing w:before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 čl. I </w:t>
      </w:r>
    </w:p>
    <w:p>
      <w:pPr>
        <w:keepNext/>
        <w:keepLines w:val="0"/>
        <w:spacing w:before="0" w:line="276" w:lineRule="auto"/>
        <w:rPr>
          <w:rFonts w:ascii="Times New Roman" w:hAnsi="Times New Roman"/>
          <w:b/>
          <w:sz w:val="24"/>
        </w:rPr>
      </w:pPr>
    </w:p>
    <w:p>
      <w:pPr>
        <w:keepNext/>
        <w:keepLines w:val="0"/>
        <w:spacing w:before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 bodu 1</w:t>
      </w:r>
    </w:p>
    <w:p>
      <w:pPr>
        <w:keepLines w:val="0"/>
        <w:autoSpaceDE w:val="0"/>
        <w:autoSpaceDN w:val="0"/>
        <w:adjustRightInd w:val="0"/>
        <w:spacing w:before="0"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Dosavadní vyhláškou předepsaný formát formuláře </w:t>
      </w:r>
      <w:proofErr w:type="spellStart"/>
      <w:r>
        <w:rPr>
          <w:rFonts w:ascii="Times New Roman" w:hAnsi="Times New Roman"/>
          <w:sz w:val="24"/>
        </w:rPr>
        <w:t>fo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zfo</w:t>
      </w:r>
      <w:proofErr w:type="spellEnd"/>
      <w:r>
        <w:rPr>
          <w:rFonts w:ascii="Times New Roman" w:hAnsi="Times New Roman"/>
          <w:sz w:val="24"/>
        </w:rPr>
        <w:t xml:space="preserve"> (602XML </w:t>
      </w:r>
      <w:proofErr w:type="spellStart"/>
      <w:r>
        <w:rPr>
          <w:rFonts w:ascii="Times New Roman" w:hAnsi="Times New Roman"/>
          <w:sz w:val="24"/>
        </w:rPr>
        <w:t>Filter</w:t>
      </w:r>
      <w:proofErr w:type="spellEnd"/>
      <w:r>
        <w:rPr>
          <w:rFonts w:ascii="Times New Roman" w:hAnsi="Times New Roman"/>
          <w:sz w:val="24"/>
        </w:rPr>
        <w:t xml:space="preserve"> dokument) je nahrazován formulářem, který bude zveřejněn na internetových stránkách ČTÚ a bude přístupný prostřednictvím informačního systému veřejné správy naplňujícího požadavky podle § 4 odst. 1 písm. c) zákona č. 12/2020 Sb., tj. prostřednictvím tzv. samoobslužného portálu. V rámci technických náležitostí využívání formuláře je stanoveno, že k odeslání formuláře je možné využít rovněž rozhraní pro aplikační programy (API) po autentizaci s využitím API klíče, v podobě kódu, který slouží pro identifikaci a ověření aplikace klientů a zajistí tak, že k API budou přistupovat pouze autorizovaní klienti.</w:t>
      </w:r>
    </w:p>
    <w:p>
      <w:pPr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 bodu 2</w:t>
      </w:r>
      <w:bookmarkStart w:id="2" w:name="_GoBack"/>
      <w:bookmarkEnd w:id="2"/>
    </w:p>
    <w:p>
      <w:pPr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Dochází k rozšíření přípustných formátů příloh formuláře z dosavadního jediného formátu </w:t>
      </w:r>
      <w:proofErr w:type="spellStart"/>
      <w:r>
        <w:rPr>
          <w:rFonts w:ascii="Times New Roman" w:hAnsi="Times New Roman"/>
          <w:sz w:val="24"/>
        </w:rPr>
        <w:t>pdf</w:t>
      </w:r>
      <w:proofErr w:type="spellEnd"/>
      <w:r>
        <w:rPr>
          <w:rFonts w:ascii="Times New Roman" w:hAnsi="Times New Roman"/>
          <w:sz w:val="24"/>
        </w:rPr>
        <w:t xml:space="preserve"> (Portable </w:t>
      </w:r>
      <w:proofErr w:type="spellStart"/>
      <w:r>
        <w:rPr>
          <w:rFonts w:ascii="Times New Roman" w:hAnsi="Times New Roman"/>
          <w:sz w:val="24"/>
        </w:rPr>
        <w:t>Document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Format</w:t>
      </w:r>
      <w:proofErr w:type="spellEnd"/>
      <w:r>
        <w:rPr>
          <w:rFonts w:ascii="Times New Roman" w:hAnsi="Times New Roman"/>
          <w:sz w:val="24"/>
        </w:rPr>
        <w:t xml:space="preserve">) na formáty, ve kterých lze učinit podání, které ČTÚ zveřejní podle § 64 odst. 1 zákona č. 499/2004 Sb., o archivnictví a spisové službě a o změně některých zákonů, ve znění pozdějších předpisů, na své elektronické úřední desce. Druhá větu § 2 odst. 3 vyhlášky 360/2010 Sb., v platném znění, která stanovuje, že připojením se přílohy stávají nedílnou součástí formuláře, se navrhuje vypustit bez náhrady, když lze tuto větu považovat za nadbytečnou, přičemž v této souvislosti platí, že součástí návrhu na rozhodnutí předmětného sporu je vyplněný formulář včetně jeho příloh.  </w:t>
      </w:r>
    </w:p>
    <w:p>
      <w:pPr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K bodu 3 </w:t>
      </w:r>
    </w:p>
    <w:p>
      <w:pPr>
        <w:keepLines w:val="0"/>
        <w:autoSpaceDE w:val="0"/>
        <w:autoSpaceDN w:val="0"/>
        <w:adjustRightInd w:val="0"/>
        <w:spacing w:before="0" w:line="276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Upravuje se maximální velikost datového souboru obsahujícího formulář (včetně příloh) v případě podání návrhu na rozhodnutí předmětného sporu prostřednictvím veřejné datové sítě do datové schránky nebo prostřednictvím tzv. samoobslužného portálu. V obou případech je nově horní limit velikosti datového souboru stanoven na 100 MB.</w:t>
      </w:r>
    </w:p>
    <w:p>
      <w:pPr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K bodu 4</w:t>
      </w:r>
    </w:p>
    <w:p>
      <w:pPr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 xml:space="preserve">Nově se upravuje příloha k vyhlášce obsahující vzor formuláře pro podání návrhu na rozhodnutí sporu o povinnosti k peněžitému plnění. V příloze návrhu vyhlášky je nově graficky znázorněna základní úroveň (maska) elektronického formuláře pro podávání návrhů na rozhodnutí předmětných sporů. Obdobně jako dosavadní vzor formuláře i nový vzor formuláře obsahuje se záměrem sjednocení struktury návrhů podstatné obsahové náležitosti podání, které vyplývají z ustanovení § 37 správního řádu (obecné náležitosti podání). Formulář je strukturován podle základních obsahových oblastí návrhu na zahájení správního řízení, kterými jsou zejména údaje o správním orgánu, navrhovateli, odpůrci, předmětu návrhu, nákladech řízení včetně správního poplatku, bankovních údajích a petitu. Na rozdíl od stávajícího formuláře je nový formulář interaktivní a výskyt a rozsah jednotlivých „tlačítek“, resp. polí formuláře je odvislý od postupu jeho vyplnění. U některých oblastí systém rozbalí další pole, která jsou součástí formuláře, a která je třeba rovněž vyplnit. Vzor formuláře </w:t>
      </w:r>
      <w:r>
        <w:rPr>
          <w:rFonts w:ascii="Times New Roman" w:hAnsi="Times New Roman"/>
          <w:sz w:val="24"/>
        </w:rPr>
        <w:lastRenderedPageBreak/>
        <w:t>obsažený v příloze návrhu vyhlášky tedy obsahuje pouze základní pole formuláře, která se zobrazí uživateli bez ohledu na konkrétní postup vyplnění a způsob podání návrhu na rozhodnutí sporu o povinnosti k peněžitému plnění.</w:t>
      </w:r>
    </w:p>
    <w:p>
      <w:pPr>
        <w:keepNext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 čl. II</w:t>
      </w:r>
    </w:p>
    <w:p>
      <w:pPr>
        <w:keepNext/>
        <w:keepLines w:val="0"/>
        <w:autoSpaceDE w:val="0"/>
        <w:autoSpaceDN w:val="0"/>
        <w:adjustRightInd w:val="0"/>
        <w:spacing w:before="0" w:line="276" w:lineRule="auto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bCs/>
          <w:sz w:val="24"/>
        </w:rPr>
        <w:tab/>
        <w:t>Na základě přechodného ustanovení bude vedle formuláře odpovídajícího novému vzoru stanovenému čl. I bodu 4 návrhu vyhlášky umožněno po přechodnou dobu využít rovněž současného</w:t>
      </w:r>
      <w:r>
        <w:rPr>
          <w:rFonts w:ascii="Times New Roman" w:hAnsi="Times New Roman"/>
          <w:sz w:val="24"/>
        </w:rPr>
        <w:t xml:space="preserve"> formuláře ve formátu </w:t>
      </w:r>
      <w:proofErr w:type="spellStart"/>
      <w:r>
        <w:rPr>
          <w:rFonts w:ascii="Times New Roman" w:hAnsi="Times New Roman"/>
          <w:sz w:val="24"/>
        </w:rPr>
        <w:t>fo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zfo</w:t>
      </w:r>
      <w:proofErr w:type="spellEnd"/>
      <w:r>
        <w:rPr>
          <w:rFonts w:ascii="Times New Roman" w:hAnsi="Times New Roman"/>
          <w:sz w:val="24"/>
        </w:rPr>
        <w:t xml:space="preserve"> (602XML </w:t>
      </w:r>
      <w:proofErr w:type="spellStart"/>
      <w:r>
        <w:rPr>
          <w:rFonts w:ascii="Times New Roman" w:hAnsi="Times New Roman"/>
          <w:sz w:val="24"/>
        </w:rPr>
        <w:t>Filter</w:t>
      </w:r>
      <w:proofErr w:type="spellEnd"/>
      <w:r>
        <w:rPr>
          <w:rFonts w:ascii="Times New Roman" w:hAnsi="Times New Roman"/>
          <w:sz w:val="24"/>
        </w:rPr>
        <w:t xml:space="preserve"> dokument). Přechodné období je dostatečně dlouhé, aby mohlo dojít k případné úpravě interních systémů především na straně větších podnikatelů v elektronických komunikacích (osob vykonávajících komunikační činnost), kteří zahajují předmětné spory, a kteří hodlají využít nově nastavené rozhraní pro aplikační programy (API) nebo již nyní využívají tento způsob podávání návrhů na rozhodnutí sporu. </w:t>
      </w:r>
    </w:p>
    <w:p>
      <w:pPr>
        <w:keepNext/>
        <w:keepLines w:val="0"/>
        <w:autoSpaceDE w:val="0"/>
        <w:autoSpaceDN w:val="0"/>
        <w:adjustRightInd w:val="0"/>
        <w:spacing w:before="0" w:line="276" w:lineRule="auto"/>
        <w:rPr>
          <w:rFonts w:ascii="Times New Roman" w:eastAsia="Calibri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 čl. III</w:t>
      </w:r>
    </w:p>
    <w:p>
      <w:pPr>
        <w:keepLines w:val="0"/>
        <w:autoSpaceDE w:val="0"/>
        <w:autoSpaceDN w:val="0"/>
        <w:adjustRightInd w:val="0"/>
        <w:spacing w:before="0" w:line="276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Nabytí účinnosti se navrhuje dnem 1. února 2025, když je ve smyslu § 3 odst. 4 zákona č. 309/1999 Sb., o Sbírce zákonů a o Sbírce mezinárodních smluv, ve znění pozdějších předpisů, dán naléhavý obecný zájem na co nejdřívější účinnosti této vyhlášky s ohledem na potřebu zajistit soulad se zákonem č. 12/2020 Sb., jak vyplývá již z obecné části odůvodnění k tomuto návrhu vyhlášky, a zároveň jsou navržené změny činěny výlučně v zájmu a ve prospěch uživatelů předmětného elektronického formuláře, tj. osob vykonávajících komunikační činnost podle zákona o elektronických komunikacích.</w:t>
      </w:r>
    </w:p>
    <w:p>
      <w:pPr>
        <w:keepLines w:val="0"/>
        <w:autoSpaceDE w:val="0"/>
        <w:autoSpaceDN w:val="0"/>
        <w:adjustRightInd w:val="0"/>
        <w:spacing w:before="0" w:line="276" w:lineRule="auto"/>
        <w:ind w:firstLine="709"/>
        <w:rPr>
          <w:rFonts w:cs="Arial"/>
          <w:sz w:val="22"/>
          <w:szCs w:val="22"/>
        </w:rPr>
      </w:pPr>
    </w:p>
    <w:sectPr>
      <w:footerReference w:type="default" r:id="rId8"/>
      <w:pgSz w:w="11906" w:h="16838"/>
      <w:pgMar w:top="993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pat"/>
      <w:rPr>
        <w:sz w:val="22"/>
        <w:szCs w:val="22"/>
      </w:rPr>
    </w:pPr>
    <w:r>
      <w:rPr>
        <w:rStyle w:val="slostrnky"/>
        <w:sz w:val="22"/>
        <w:szCs w:val="22"/>
      </w:rPr>
      <w:tab/>
    </w:r>
    <w:r>
      <w:rPr>
        <w:rStyle w:val="slostrnky"/>
        <w:sz w:val="22"/>
        <w:szCs w:val="22"/>
      </w:rPr>
      <w:fldChar w:fldCharType="begin"/>
    </w:r>
    <w:r>
      <w:rPr>
        <w:rStyle w:val="slostrnky"/>
        <w:sz w:val="22"/>
        <w:szCs w:val="22"/>
      </w:rPr>
      <w:instrText xml:space="preserve">PAGE  </w:instrText>
    </w:r>
    <w:r>
      <w:rPr>
        <w:rStyle w:val="slostrnky"/>
        <w:sz w:val="22"/>
        <w:szCs w:val="22"/>
      </w:rPr>
      <w:fldChar w:fldCharType="separate"/>
    </w:r>
    <w:r>
      <w:rPr>
        <w:rStyle w:val="slostrnky"/>
        <w:sz w:val="22"/>
        <w:szCs w:val="22"/>
      </w:rPr>
      <w:t>1</w:t>
    </w:r>
    <w:r>
      <w:rPr>
        <w:rStyle w:val="slostrnky"/>
        <w:sz w:val="22"/>
        <w:szCs w:val="22"/>
      </w:rPr>
      <w:fldChar w:fldCharType="end"/>
    </w:r>
    <w:r>
      <w:rPr>
        <w:rStyle w:val="slostrnky"/>
        <w:sz w:val="22"/>
        <w:szCs w:val="22"/>
      </w:rPr>
      <w:t>/</w:t>
    </w:r>
    <w:r>
      <w:rPr>
        <w:rStyle w:val="slostrnky"/>
        <w:sz w:val="22"/>
        <w:szCs w:val="22"/>
      </w:rPr>
      <w:fldChar w:fldCharType="begin"/>
    </w:r>
    <w:r>
      <w:rPr>
        <w:rStyle w:val="slostrnky"/>
        <w:sz w:val="22"/>
        <w:szCs w:val="22"/>
      </w:rPr>
      <w:instrText xml:space="preserve"> NUMPAGES   \* MERGEFORMAT </w:instrText>
    </w:r>
    <w:r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3</w:t>
    </w:r>
    <w:r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6349"/>
    <w:multiLevelType w:val="hybridMultilevel"/>
    <w:tmpl w:val="4E569F8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0F">
      <w:start w:val="1"/>
      <w:numFmt w:val="decimal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D42766"/>
    <w:multiLevelType w:val="hybridMultilevel"/>
    <w:tmpl w:val="DA16351E"/>
    <w:lvl w:ilvl="0" w:tplc="24982E4A">
      <w:start w:val="1"/>
      <w:numFmt w:val="upperRoman"/>
      <w:pStyle w:val="Nzevsti"/>
      <w:lvlText w:val="%1."/>
      <w:lvlJc w:val="left"/>
      <w:pPr>
        <w:tabs>
          <w:tab w:val="num" w:pos="284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D36AB"/>
    <w:multiLevelType w:val="hybridMultilevel"/>
    <w:tmpl w:val="EFB6D3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BBC9EF6">
      <w:start w:val="1"/>
      <w:numFmt w:val="decimal"/>
      <w:lvlText w:val="%2."/>
      <w:lvlJc w:val="left"/>
      <w:pPr>
        <w:ind w:left="108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1B21528"/>
    <w:multiLevelType w:val="hybridMultilevel"/>
    <w:tmpl w:val="FB58E330"/>
    <w:lvl w:ilvl="0" w:tplc="DB6AFE88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-425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91578A6"/>
    <w:multiLevelType w:val="hybridMultilevel"/>
    <w:tmpl w:val="F65CC004"/>
    <w:lvl w:ilvl="0" w:tplc="3B5CC72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ti">
    <w:name w:val="Název části"/>
    <w:basedOn w:val="Normln"/>
    <w:pPr>
      <w:numPr>
        <w:numId w:val="1"/>
      </w:numPr>
      <w:spacing w:before="240"/>
    </w:pPr>
    <w:rPr>
      <w:b/>
    </w:rPr>
  </w:style>
  <w:style w:type="paragraph" w:customStyle="1" w:styleId="Nzevk">
    <w:name w:val="Název k §"/>
    <w:basedOn w:val="Normln"/>
    <w:pPr>
      <w:keepNext/>
    </w:pPr>
    <w:rPr>
      <w:rFonts w:cs="Arial"/>
      <w:b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lodku">
    <w:name w:val="line number"/>
    <w:basedOn w:val="Standardnpsmoodstavce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pPr>
      <w:keepLines w:val="0"/>
      <w:spacing w:before="0" w:after="0"/>
      <w:jc w:val="center"/>
    </w:pPr>
    <w:rPr>
      <w:rFonts w:cs="Arial"/>
      <w:sz w:val="24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Textparagrafu">
    <w:name w:val="Text paragrafu"/>
    <w:basedOn w:val="Normln"/>
    <w:pPr>
      <w:keepLines w:val="0"/>
      <w:spacing w:before="240" w:after="0"/>
      <w:ind w:firstLine="425"/>
      <w:outlineLvl w:val="5"/>
    </w:pPr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Nzevoddlu">
    <w:name w:val="Název oddílu"/>
    <w:basedOn w:val="Normln"/>
    <w:pPr>
      <w:keepNext/>
      <w:spacing w:before="240"/>
      <w:ind w:firstLine="709"/>
    </w:pPr>
    <w:rPr>
      <w:rFonts w:cs="Arial"/>
      <w:b/>
      <w:sz w:val="22"/>
    </w:rPr>
  </w:style>
  <w:style w:type="paragraph" w:customStyle="1" w:styleId="Textbodu">
    <w:name w:val="Text bodu"/>
    <w:basedOn w:val="Normln"/>
    <w:pPr>
      <w:keepLines w:val="0"/>
      <w:numPr>
        <w:ilvl w:val="2"/>
        <w:numId w:val="6"/>
      </w:numPr>
      <w:spacing w:before="0" w:after="0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pPr>
      <w:keepLines w:val="0"/>
      <w:numPr>
        <w:ilvl w:val="1"/>
        <w:numId w:val="6"/>
      </w:numPr>
      <w:spacing w:before="0" w:after="0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pPr>
      <w:keepLines w:val="0"/>
      <w:numPr>
        <w:numId w:val="6"/>
      </w:numPr>
      <w:tabs>
        <w:tab w:val="left" w:pos="851"/>
      </w:tabs>
      <w:outlineLvl w:val="6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708F-6B2B-43CB-BEF3-F8EF001E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2024-10-25T07:23:00Z</dcterms:created>
  <dcterms:modified xsi:type="dcterms:W3CDTF">2024-10-31T09:05:00Z</dcterms:modified>
</cp:coreProperties>
</file>